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F5C37" w14:textId="77777777" w:rsidR="00FA0E4E" w:rsidRPr="005A5B7A" w:rsidRDefault="00E003CC" w:rsidP="006E0627">
      <w:pPr>
        <w:pStyle w:val="Titolo1"/>
        <w:spacing w:before="0"/>
        <w:rPr>
          <w:color w:val="365F91" w:themeColor="accent1" w:themeShade="BF"/>
        </w:rPr>
      </w:pPr>
      <w:r>
        <w:rPr>
          <w:color w:val="365F91" w:themeColor="accent1" w:themeShade="BF"/>
        </w:rPr>
        <w:t>Le previsioni per il 2017</w:t>
      </w:r>
      <w:r w:rsidR="00250FCD">
        <w:rPr>
          <w:color w:val="365F91" w:themeColor="accent1" w:themeShade="BF"/>
        </w:rPr>
        <w:t xml:space="preserve"> </w:t>
      </w:r>
    </w:p>
    <w:p w14:paraId="0EA1804D" w14:textId="19EE5666" w:rsidR="009C54B4" w:rsidRDefault="009C54B4"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I segnali del mercato</w:t>
      </w:r>
      <w:r w:rsidR="006E0627">
        <w:rPr>
          <w:rFonts w:ascii="Calibri" w:hAnsi="Calibri"/>
          <w:sz w:val="22"/>
          <w:szCs w:val="22"/>
          <w:shd w:val="clear" w:color="auto" w:fill="FFFFFF"/>
        </w:rPr>
        <w:t>,</w:t>
      </w:r>
      <w:r>
        <w:rPr>
          <w:rFonts w:ascii="Calibri" w:hAnsi="Calibri"/>
          <w:sz w:val="22"/>
          <w:szCs w:val="22"/>
          <w:shd w:val="clear" w:color="auto" w:fill="FFFFFF"/>
        </w:rPr>
        <w:t xml:space="preserve"> per l'estate che si avvicina</w:t>
      </w:r>
      <w:r w:rsidR="006E0627">
        <w:rPr>
          <w:rFonts w:ascii="Calibri" w:hAnsi="Calibri"/>
          <w:sz w:val="22"/>
          <w:szCs w:val="22"/>
          <w:shd w:val="clear" w:color="auto" w:fill="FFFFFF"/>
        </w:rPr>
        <w:t>,</w:t>
      </w:r>
      <w:r>
        <w:rPr>
          <w:rFonts w:ascii="Calibri" w:hAnsi="Calibri"/>
          <w:sz w:val="22"/>
          <w:szCs w:val="22"/>
          <w:shd w:val="clear" w:color="auto" w:fill="FFFFFF"/>
        </w:rPr>
        <w:t xml:space="preserve"> rend</w:t>
      </w:r>
      <w:r w:rsidR="006E0627">
        <w:rPr>
          <w:rFonts w:ascii="Calibri" w:hAnsi="Calibri"/>
          <w:sz w:val="22"/>
          <w:szCs w:val="22"/>
          <w:shd w:val="clear" w:color="auto" w:fill="FFFFFF"/>
        </w:rPr>
        <w:t>ono</w:t>
      </w:r>
      <w:r>
        <w:rPr>
          <w:rFonts w:ascii="Calibri" w:hAnsi="Calibri"/>
          <w:sz w:val="22"/>
          <w:szCs w:val="22"/>
          <w:shd w:val="clear" w:color="auto" w:fill="FFFFFF"/>
        </w:rPr>
        <w:t xml:space="preserve"> ottimisti gli imprenditori toscani</w:t>
      </w:r>
      <w:r w:rsidR="00D65C7E">
        <w:rPr>
          <w:rFonts w:ascii="Calibri" w:hAnsi="Calibri"/>
          <w:sz w:val="22"/>
          <w:szCs w:val="22"/>
          <w:shd w:val="clear" w:color="auto" w:fill="FFFFFF"/>
        </w:rPr>
        <w:t xml:space="preserve"> del turismo all'aria aperta</w:t>
      </w:r>
      <w:r>
        <w:rPr>
          <w:rFonts w:ascii="Calibri" w:hAnsi="Calibri"/>
          <w:sz w:val="22"/>
          <w:szCs w:val="22"/>
          <w:shd w:val="clear" w:color="auto" w:fill="FFFFFF"/>
        </w:rPr>
        <w:t>.</w:t>
      </w:r>
    </w:p>
    <w:p w14:paraId="64C3C70A" w14:textId="179841FA" w:rsidR="00AB09F5" w:rsidRDefault="00E003CC"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 xml:space="preserve">L'indagine </w:t>
      </w:r>
      <w:r w:rsidR="009C54B4">
        <w:rPr>
          <w:rFonts w:ascii="Calibri" w:hAnsi="Calibri"/>
          <w:sz w:val="22"/>
          <w:szCs w:val="22"/>
          <w:shd w:val="clear" w:color="auto" w:fill="FFFFFF"/>
        </w:rPr>
        <w:t>previsionale segnala una aspettativa positiva degli operatori</w:t>
      </w:r>
      <w:r w:rsidR="00D65C7E">
        <w:rPr>
          <w:rFonts w:ascii="Calibri" w:hAnsi="Calibri"/>
          <w:sz w:val="22"/>
          <w:szCs w:val="22"/>
          <w:shd w:val="clear" w:color="auto" w:fill="FFFFFF"/>
        </w:rPr>
        <w:t xml:space="preserve">, meglio di quanto rilevato negli </w:t>
      </w:r>
      <w:r w:rsidR="009C54B4">
        <w:rPr>
          <w:rFonts w:ascii="Calibri" w:hAnsi="Calibri"/>
          <w:sz w:val="22"/>
          <w:szCs w:val="22"/>
          <w:shd w:val="clear" w:color="auto" w:fill="FFFFFF"/>
        </w:rPr>
        <w:t>anni passati.</w:t>
      </w:r>
    </w:p>
    <w:p w14:paraId="45B7A5E5" w14:textId="5B8FD47E" w:rsidR="00AB09F5" w:rsidRPr="00AB09F5" w:rsidRDefault="00AB09F5" w:rsidP="006E0627">
      <w:pPr>
        <w:shd w:val="clear" w:color="auto" w:fill="FFFFFF"/>
        <w:jc w:val="both"/>
        <w:rPr>
          <w:rFonts w:ascii="Calibri" w:hAnsi="Calibri"/>
          <w:sz w:val="22"/>
          <w:szCs w:val="22"/>
          <w:shd w:val="clear" w:color="auto" w:fill="FFFFFF"/>
        </w:rPr>
      </w:pPr>
      <w:r w:rsidRPr="00AB09F5">
        <w:rPr>
          <w:rFonts w:ascii="Calibri" w:hAnsi="Calibri"/>
          <w:sz w:val="22"/>
          <w:szCs w:val="22"/>
          <w:shd w:val="clear" w:color="auto" w:fill="FFFFFF"/>
        </w:rPr>
        <w:t xml:space="preserve">L'aumento </w:t>
      </w:r>
      <w:r w:rsidR="009C54B4">
        <w:rPr>
          <w:rFonts w:ascii="Calibri" w:hAnsi="Calibri"/>
          <w:sz w:val="22"/>
          <w:szCs w:val="22"/>
          <w:shd w:val="clear" w:color="auto" w:fill="FFFFFF"/>
        </w:rPr>
        <w:t xml:space="preserve">previsto </w:t>
      </w:r>
      <w:r w:rsidRPr="00AB09F5">
        <w:rPr>
          <w:rFonts w:ascii="Calibri" w:hAnsi="Calibri"/>
          <w:sz w:val="22"/>
          <w:szCs w:val="22"/>
          <w:shd w:val="clear" w:color="auto" w:fill="FFFFFF"/>
        </w:rPr>
        <w:t>dei pernottamenti</w:t>
      </w:r>
      <w:r w:rsidR="009C54B4">
        <w:rPr>
          <w:rFonts w:ascii="Calibri" w:hAnsi="Calibri"/>
          <w:sz w:val="22"/>
          <w:szCs w:val="22"/>
          <w:shd w:val="clear" w:color="auto" w:fill="FFFFFF"/>
        </w:rPr>
        <w:t>,</w:t>
      </w:r>
      <w:r w:rsidR="00EE07A1">
        <w:rPr>
          <w:rFonts w:ascii="Calibri" w:hAnsi="Calibri"/>
          <w:sz w:val="22"/>
          <w:szCs w:val="22"/>
          <w:shd w:val="clear" w:color="auto" w:fill="FFFFFF"/>
        </w:rPr>
        <w:t xml:space="preserve"> </w:t>
      </w:r>
      <w:r w:rsidRPr="00AB09F5">
        <w:rPr>
          <w:rFonts w:ascii="Calibri" w:hAnsi="Calibri"/>
          <w:sz w:val="22"/>
          <w:szCs w:val="22"/>
          <w:shd w:val="clear" w:color="auto" w:fill="FFFFFF"/>
        </w:rPr>
        <w:t xml:space="preserve">intorno al </w:t>
      </w:r>
      <w:r w:rsidR="006E0627">
        <w:rPr>
          <w:rFonts w:ascii="Calibri" w:hAnsi="Calibri"/>
          <w:sz w:val="22"/>
          <w:szCs w:val="22"/>
          <w:shd w:val="clear" w:color="auto" w:fill="FFFFFF"/>
        </w:rPr>
        <w:t>2,5</w:t>
      </w:r>
      <w:r w:rsidRPr="00AB09F5">
        <w:rPr>
          <w:rFonts w:ascii="Calibri" w:hAnsi="Calibri"/>
          <w:sz w:val="22"/>
          <w:szCs w:val="22"/>
          <w:shd w:val="clear" w:color="auto" w:fill="FFFFFF"/>
        </w:rPr>
        <w:t>%</w:t>
      </w:r>
      <w:r w:rsidR="009C54B4">
        <w:rPr>
          <w:rFonts w:ascii="Calibri" w:hAnsi="Calibri"/>
          <w:sz w:val="22"/>
          <w:szCs w:val="22"/>
          <w:shd w:val="clear" w:color="auto" w:fill="FFFFFF"/>
        </w:rPr>
        <w:t>,</w:t>
      </w:r>
      <w:r w:rsidRPr="00AB09F5">
        <w:rPr>
          <w:rFonts w:ascii="Calibri" w:hAnsi="Calibri"/>
          <w:sz w:val="22"/>
          <w:szCs w:val="22"/>
          <w:shd w:val="clear" w:color="auto" w:fill="FFFFFF"/>
        </w:rPr>
        <w:t xml:space="preserve"> è </w:t>
      </w:r>
      <w:r w:rsidR="009C54B4">
        <w:rPr>
          <w:rFonts w:ascii="Calibri" w:hAnsi="Calibri"/>
          <w:sz w:val="22"/>
          <w:szCs w:val="22"/>
          <w:shd w:val="clear" w:color="auto" w:fill="FFFFFF"/>
        </w:rPr>
        <w:t xml:space="preserve">guidato dagli stranieri </w:t>
      </w:r>
      <w:r w:rsidRPr="00AB09F5">
        <w:rPr>
          <w:rFonts w:ascii="Calibri" w:hAnsi="Calibri"/>
          <w:sz w:val="22"/>
          <w:szCs w:val="22"/>
          <w:shd w:val="clear" w:color="auto" w:fill="FFFFFF"/>
        </w:rPr>
        <w:t>(</w:t>
      </w:r>
      <w:r w:rsidR="006E0627">
        <w:rPr>
          <w:rFonts w:ascii="Calibri" w:hAnsi="Calibri"/>
          <w:sz w:val="22"/>
          <w:szCs w:val="22"/>
          <w:shd w:val="clear" w:color="auto" w:fill="FFFFFF"/>
        </w:rPr>
        <w:t>+</w:t>
      </w:r>
      <w:r w:rsidR="009C54B4">
        <w:rPr>
          <w:rFonts w:ascii="Calibri" w:hAnsi="Calibri"/>
          <w:sz w:val="22"/>
          <w:szCs w:val="22"/>
          <w:shd w:val="clear" w:color="auto" w:fill="FFFFFF"/>
        </w:rPr>
        <w:t>2,6</w:t>
      </w:r>
      <w:r w:rsidRPr="00AB09F5">
        <w:rPr>
          <w:rFonts w:ascii="Calibri" w:hAnsi="Calibri"/>
          <w:sz w:val="22"/>
          <w:szCs w:val="22"/>
          <w:shd w:val="clear" w:color="auto" w:fill="FFFFFF"/>
        </w:rPr>
        <w:t xml:space="preserve">%), </w:t>
      </w:r>
      <w:r w:rsidR="009C54B4">
        <w:rPr>
          <w:rFonts w:ascii="Calibri" w:hAnsi="Calibri"/>
          <w:sz w:val="22"/>
          <w:szCs w:val="22"/>
          <w:shd w:val="clear" w:color="auto" w:fill="FFFFFF"/>
        </w:rPr>
        <w:t xml:space="preserve">che, sull'onda lunga </w:t>
      </w:r>
      <w:r w:rsidR="00D65C7E">
        <w:rPr>
          <w:rFonts w:ascii="Calibri" w:hAnsi="Calibri"/>
          <w:sz w:val="22"/>
          <w:szCs w:val="22"/>
          <w:shd w:val="clear" w:color="auto" w:fill="FFFFFF"/>
        </w:rPr>
        <w:t>della crescita</w:t>
      </w:r>
      <w:r w:rsidR="009C54B4">
        <w:rPr>
          <w:rFonts w:ascii="Calibri" w:hAnsi="Calibri"/>
          <w:sz w:val="22"/>
          <w:szCs w:val="22"/>
          <w:shd w:val="clear" w:color="auto" w:fill="FFFFFF"/>
        </w:rPr>
        <w:t xml:space="preserve"> degli anni passati, </w:t>
      </w:r>
      <w:r w:rsidRPr="00AB09F5">
        <w:rPr>
          <w:rFonts w:ascii="Calibri" w:hAnsi="Calibri"/>
          <w:sz w:val="22"/>
          <w:szCs w:val="22"/>
          <w:shd w:val="clear" w:color="auto" w:fill="FFFFFF"/>
        </w:rPr>
        <w:t xml:space="preserve">spinti </w:t>
      </w:r>
      <w:r w:rsidR="00D65C7E">
        <w:rPr>
          <w:rFonts w:ascii="Calibri" w:hAnsi="Calibri"/>
          <w:sz w:val="22"/>
          <w:szCs w:val="22"/>
          <w:shd w:val="clear" w:color="auto" w:fill="FFFFFF"/>
        </w:rPr>
        <w:t xml:space="preserve">anche </w:t>
      </w:r>
      <w:r w:rsidRPr="00AB09F5">
        <w:rPr>
          <w:rFonts w:ascii="Calibri" w:hAnsi="Calibri"/>
          <w:sz w:val="22"/>
          <w:szCs w:val="22"/>
          <w:shd w:val="clear" w:color="auto" w:fill="FFFFFF"/>
        </w:rPr>
        <w:t>dalle d</w:t>
      </w:r>
      <w:r w:rsidR="00D65C7E">
        <w:rPr>
          <w:rFonts w:ascii="Calibri" w:hAnsi="Calibri"/>
          <w:sz w:val="22"/>
          <w:szCs w:val="22"/>
          <w:shd w:val="clear" w:color="auto" w:fill="FFFFFF"/>
        </w:rPr>
        <w:t>ifficoltà in molti mercati del M</w:t>
      </w:r>
      <w:r w:rsidRPr="00AB09F5">
        <w:rPr>
          <w:rFonts w:ascii="Calibri" w:hAnsi="Calibri"/>
          <w:sz w:val="22"/>
          <w:szCs w:val="22"/>
          <w:shd w:val="clear" w:color="auto" w:fill="FFFFFF"/>
        </w:rPr>
        <w:t xml:space="preserve">editerraneo, </w:t>
      </w:r>
      <w:r w:rsidR="009C54B4">
        <w:rPr>
          <w:rFonts w:ascii="Calibri" w:hAnsi="Calibri"/>
          <w:sz w:val="22"/>
          <w:szCs w:val="22"/>
          <w:shd w:val="clear" w:color="auto" w:fill="FFFFFF"/>
        </w:rPr>
        <w:t xml:space="preserve">sono tornati ed apprezzano la qualità della offerta Toscana. </w:t>
      </w:r>
      <w:r w:rsidR="00D65C7E">
        <w:rPr>
          <w:rFonts w:ascii="Calibri" w:hAnsi="Calibri"/>
          <w:sz w:val="22"/>
          <w:szCs w:val="22"/>
          <w:shd w:val="clear" w:color="auto" w:fill="FFFFFF"/>
        </w:rPr>
        <w:t xml:space="preserve">Tuttavia </w:t>
      </w:r>
      <w:r w:rsidRPr="00AB09F5">
        <w:rPr>
          <w:rFonts w:ascii="Calibri" w:hAnsi="Calibri"/>
          <w:sz w:val="22"/>
          <w:szCs w:val="22"/>
          <w:shd w:val="clear" w:color="auto" w:fill="FFFFFF"/>
        </w:rPr>
        <w:t>anche l'aumento degli italiani non è stato trascurabile (</w:t>
      </w:r>
      <w:r w:rsidR="006E0627">
        <w:rPr>
          <w:rFonts w:ascii="Calibri" w:hAnsi="Calibri"/>
          <w:sz w:val="22"/>
          <w:szCs w:val="22"/>
          <w:shd w:val="clear" w:color="auto" w:fill="FFFFFF"/>
        </w:rPr>
        <w:t>+</w:t>
      </w:r>
      <w:r w:rsidRPr="00AB09F5">
        <w:rPr>
          <w:rFonts w:ascii="Calibri" w:hAnsi="Calibri"/>
          <w:sz w:val="22"/>
          <w:szCs w:val="22"/>
          <w:shd w:val="clear" w:color="auto" w:fill="FFFFFF"/>
        </w:rPr>
        <w:t>3%).</w:t>
      </w:r>
    </w:p>
    <w:p w14:paraId="3164252C" w14:textId="4E39FD30" w:rsidR="002A5AA6" w:rsidRPr="00233296" w:rsidRDefault="00233296" w:rsidP="006E0627">
      <w:pPr>
        <w:shd w:val="clear" w:color="auto" w:fill="FFFFFF"/>
        <w:jc w:val="both"/>
        <w:rPr>
          <w:i/>
          <w:shd w:val="clear" w:color="auto" w:fill="FFFFFF"/>
        </w:rPr>
      </w:pPr>
      <w:r w:rsidRPr="004C195E">
        <w:rPr>
          <w:i/>
          <w:shd w:val="clear" w:color="auto" w:fill="FFFFFF"/>
        </w:rPr>
        <w:t xml:space="preserve">Fig. </w:t>
      </w:r>
      <w:r w:rsidRPr="004C195E">
        <w:rPr>
          <w:i/>
          <w:shd w:val="clear" w:color="auto" w:fill="FFFFFF"/>
        </w:rPr>
        <w:fldChar w:fldCharType="begin"/>
      </w:r>
      <w:r w:rsidRPr="004C195E">
        <w:rPr>
          <w:i/>
          <w:shd w:val="clear" w:color="auto" w:fill="FFFFFF"/>
        </w:rPr>
        <w:instrText xml:space="preserve"> SEQ Fig._ \* ARABIC </w:instrText>
      </w:r>
      <w:r w:rsidRPr="004C195E">
        <w:rPr>
          <w:i/>
          <w:shd w:val="clear" w:color="auto" w:fill="FFFFFF"/>
        </w:rPr>
        <w:fldChar w:fldCharType="separate"/>
      </w:r>
      <w:r>
        <w:rPr>
          <w:i/>
          <w:shd w:val="clear" w:color="auto" w:fill="FFFFFF"/>
        </w:rPr>
        <w:t>1</w:t>
      </w:r>
      <w:r w:rsidRPr="004C195E">
        <w:rPr>
          <w:i/>
          <w:shd w:val="clear" w:color="auto" w:fill="FFFFFF"/>
        </w:rPr>
        <w:fldChar w:fldCharType="end"/>
      </w:r>
      <w:r w:rsidRPr="004C195E">
        <w:rPr>
          <w:i/>
          <w:shd w:val="clear" w:color="auto" w:fill="FFFFFF"/>
        </w:rPr>
        <w:t xml:space="preserve">. </w:t>
      </w:r>
      <w:r w:rsidR="002A0258">
        <w:rPr>
          <w:i/>
          <w:shd w:val="clear" w:color="auto" w:fill="FFFFFF"/>
        </w:rPr>
        <w:t>S</w:t>
      </w:r>
      <w:r w:rsidR="006E0627" w:rsidRPr="00233296">
        <w:rPr>
          <w:i/>
          <w:shd w:val="clear" w:color="auto" w:fill="FFFFFF"/>
        </w:rPr>
        <w:t xml:space="preserve">tima </w:t>
      </w:r>
      <w:r w:rsidR="002A5AA6" w:rsidRPr="00233296">
        <w:rPr>
          <w:i/>
          <w:shd w:val="clear" w:color="auto" w:fill="FFFFFF"/>
        </w:rPr>
        <w:t xml:space="preserve">variazione </w:t>
      </w:r>
      <w:r w:rsidR="006E0627" w:rsidRPr="00233296">
        <w:rPr>
          <w:i/>
          <w:shd w:val="clear" w:color="auto" w:fill="FFFFFF"/>
        </w:rPr>
        <w:t xml:space="preserve">prevista </w:t>
      </w:r>
      <w:r w:rsidR="002A5AA6" w:rsidRPr="00233296">
        <w:rPr>
          <w:i/>
          <w:shd w:val="clear" w:color="auto" w:fill="FFFFFF"/>
        </w:rPr>
        <w:t xml:space="preserve">presenze italiani e stranieri nei campeggi e villaggi turistici toscani. </w:t>
      </w:r>
      <w:r w:rsidR="0021679B" w:rsidRPr="00233296">
        <w:rPr>
          <w:i/>
          <w:shd w:val="clear" w:color="auto" w:fill="FFFFFF"/>
        </w:rPr>
        <w:t>Anno</w:t>
      </w:r>
      <w:r w:rsidR="00D2069A">
        <w:rPr>
          <w:i/>
          <w:shd w:val="clear" w:color="auto" w:fill="FFFFFF"/>
        </w:rPr>
        <w:t xml:space="preserve"> 2017</w:t>
      </w:r>
    </w:p>
    <w:p w14:paraId="69F2E0CC" w14:textId="3A17687D" w:rsidR="002A5AA6" w:rsidRPr="002A5AA6" w:rsidRDefault="00233296" w:rsidP="006E0627">
      <w:pPr>
        <w:shd w:val="clear" w:color="auto" w:fill="FFFFFF"/>
        <w:jc w:val="center"/>
        <w:rPr>
          <w:rFonts w:ascii="Calibri" w:hAnsi="Calibri"/>
          <w:sz w:val="22"/>
          <w:szCs w:val="22"/>
          <w:shd w:val="clear" w:color="auto" w:fill="FFFFFF"/>
        </w:rPr>
      </w:pPr>
      <w:r>
        <w:rPr>
          <w:rFonts w:ascii="Calibri" w:hAnsi="Calibri"/>
          <w:noProof/>
          <w:sz w:val="22"/>
          <w:szCs w:val="22"/>
          <w:shd w:val="clear" w:color="auto" w:fill="FFFFFF"/>
        </w:rPr>
        <w:drawing>
          <wp:inline distT="0" distB="0" distL="0" distR="0" wp14:anchorId="0A29D9D6" wp14:editId="6784B654">
            <wp:extent cx="4382770" cy="2670689"/>
            <wp:effectExtent l="0" t="0" r="11430" b="0"/>
            <wp:docPr id="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2770" cy="2670689"/>
                    </a:xfrm>
                    <a:prstGeom prst="rect">
                      <a:avLst/>
                    </a:prstGeom>
                    <a:noFill/>
                    <a:ln>
                      <a:noFill/>
                    </a:ln>
                  </pic:spPr>
                </pic:pic>
              </a:graphicData>
            </a:graphic>
          </wp:inline>
        </w:drawing>
      </w:r>
    </w:p>
    <w:p w14:paraId="25A6EDD1" w14:textId="6BD5FC7E" w:rsidR="006E0627" w:rsidRDefault="006E0627"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 xml:space="preserve">Il valore della previsione è il più alto tra quelli rilevati negli ultimi tre anni: </w:t>
      </w:r>
      <w:r w:rsidR="009D0880">
        <w:rPr>
          <w:rFonts w:ascii="Calibri" w:hAnsi="Calibri"/>
          <w:sz w:val="22"/>
          <w:szCs w:val="22"/>
          <w:shd w:val="clear" w:color="auto" w:fill="FFFFFF"/>
        </w:rPr>
        <w:t>nel</w:t>
      </w:r>
      <w:r>
        <w:rPr>
          <w:rFonts w:ascii="Calibri" w:hAnsi="Calibri"/>
          <w:sz w:val="22"/>
          <w:szCs w:val="22"/>
          <w:shd w:val="clear" w:color="auto" w:fill="FFFFFF"/>
        </w:rPr>
        <w:t xml:space="preserve"> 2016</w:t>
      </w:r>
      <w:r w:rsidR="009D0880">
        <w:rPr>
          <w:rFonts w:ascii="Calibri" w:hAnsi="Calibri"/>
          <w:sz w:val="22"/>
          <w:szCs w:val="22"/>
          <w:shd w:val="clear" w:color="auto" w:fill="FFFFFF"/>
        </w:rPr>
        <w:t>, al quale ha fatto seguito una crescita di presenze stimata intorno al 6%,</w:t>
      </w:r>
      <w:r>
        <w:rPr>
          <w:rFonts w:ascii="Calibri" w:hAnsi="Calibri"/>
          <w:sz w:val="22"/>
          <w:szCs w:val="22"/>
          <w:shd w:val="clear" w:color="auto" w:fill="FFFFFF"/>
        </w:rPr>
        <w:t xml:space="preserve"> </w:t>
      </w:r>
      <w:r w:rsidR="009D0880">
        <w:rPr>
          <w:rFonts w:ascii="Calibri" w:hAnsi="Calibri"/>
          <w:sz w:val="22"/>
          <w:szCs w:val="22"/>
          <w:shd w:val="clear" w:color="auto" w:fill="FFFFFF"/>
        </w:rPr>
        <w:t>gli operatori</w:t>
      </w:r>
      <w:r w:rsidR="00092100">
        <w:rPr>
          <w:rFonts w:ascii="Calibri" w:hAnsi="Calibri"/>
          <w:sz w:val="22"/>
          <w:szCs w:val="22"/>
          <w:shd w:val="clear" w:color="auto" w:fill="FFFFFF"/>
        </w:rPr>
        <w:t>,</w:t>
      </w:r>
      <w:r w:rsidR="009D0880">
        <w:rPr>
          <w:rFonts w:ascii="Calibri" w:hAnsi="Calibri"/>
          <w:sz w:val="22"/>
          <w:szCs w:val="22"/>
          <w:shd w:val="clear" w:color="auto" w:fill="FFFFFF"/>
        </w:rPr>
        <w:t xml:space="preserve"> prima dell'estate</w:t>
      </w:r>
      <w:r w:rsidR="00092100">
        <w:rPr>
          <w:rFonts w:ascii="Calibri" w:hAnsi="Calibri"/>
          <w:sz w:val="22"/>
          <w:szCs w:val="22"/>
          <w:shd w:val="clear" w:color="auto" w:fill="FFFFFF"/>
        </w:rPr>
        <w:t>,</w:t>
      </w:r>
      <w:r w:rsidR="009D0880">
        <w:rPr>
          <w:rFonts w:ascii="Calibri" w:hAnsi="Calibri"/>
          <w:sz w:val="22"/>
          <w:szCs w:val="22"/>
          <w:shd w:val="clear" w:color="auto" w:fill="FFFFFF"/>
        </w:rPr>
        <w:t xml:space="preserve"> </w:t>
      </w:r>
      <w:r>
        <w:rPr>
          <w:rFonts w:ascii="Calibri" w:hAnsi="Calibri"/>
          <w:sz w:val="22"/>
          <w:szCs w:val="22"/>
          <w:shd w:val="clear" w:color="auto" w:fill="FFFFFF"/>
        </w:rPr>
        <w:t>prevedeva</w:t>
      </w:r>
      <w:r w:rsidR="009D0880">
        <w:rPr>
          <w:rFonts w:ascii="Calibri" w:hAnsi="Calibri"/>
          <w:sz w:val="22"/>
          <w:szCs w:val="22"/>
          <w:shd w:val="clear" w:color="auto" w:fill="FFFFFF"/>
        </w:rPr>
        <w:t>no</w:t>
      </w:r>
      <w:r>
        <w:rPr>
          <w:rFonts w:ascii="Calibri" w:hAnsi="Calibri"/>
          <w:sz w:val="22"/>
          <w:szCs w:val="22"/>
          <w:shd w:val="clear" w:color="auto" w:fill="FFFFFF"/>
        </w:rPr>
        <w:t xml:space="preserve"> un</w:t>
      </w:r>
      <w:r w:rsidR="009D0880">
        <w:rPr>
          <w:rFonts w:ascii="Calibri" w:hAnsi="Calibri"/>
          <w:sz w:val="22"/>
          <w:szCs w:val="22"/>
          <w:shd w:val="clear" w:color="auto" w:fill="FFFFFF"/>
        </w:rPr>
        <w:t xml:space="preserve">a crescita delle presenze </w:t>
      </w:r>
      <w:r w:rsidR="00D2069A">
        <w:rPr>
          <w:rFonts w:ascii="Calibri" w:hAnsi="Calibri"/>
          <w:sz w:val="22"/>
          <w:szCs w:val="22"/>
          <w:shd w:val="clear" w:color="auto" w:fill="FFFFFF"/>
        </w:rPr>
        <w:t>vicina al 2</w:t>
      </w:r>
      <w:r>
        <w:rPr>
          <w:rFonts w:ascii="Calibri" w:hAnsi="Calibri"/>
          <w:sz w:val="22"/>
          <w:szCs w:val="22"/>
          <w:shd w:val="clear" w:color="auto" w:fill="FFFFFF"/>
        </w:rPr>
        <w:t>%</w:t>
      </w:r>
      <w:r w:rsidR="009D0880">
        <w:rPr>
          <w:rFonts w:ascii="Calibri" w:hAnsi="Calibri"/>
          <w:sz w:val="22"/>
          <w:szCs w:val="22"/>
          <w:shd w:val="clear" w:color="auto" w:fill="FFFFFF"/>
        </w:rPr>
        <w:t>.</w:t>
      </w:r>
      <w:r>
        <w:rPr>
          <w:rFonts w:ascii="Calibri" w:hAnsi="Calibri"/>
          <w:sz w:val="22"/>
          <w:szCs w:val="22"/>
          <w:shd w:val="clear" w:color="auto" w:fill="FFFFFF"/>
        </w:rPr>
        <w:t xml:space="preserve"> </w:t>
      </w:r>
    </w:p>
    <w:p w14:paraId="38ADAC86" w14:textId="526F33AB" w:rsidR="007C6DC0" w:rsidRDefault="00092100"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Le strutture tradizionali, campeggi e villaggi turistici, segnalano un aumento maggiore delle aree di sosta (+1%) e degli agri</w:t>
      </w:r>
      <w:r w:rsidR="00D2069A">
        <w:rPr>
          <w:rFonts w:ascii="Calibri" w:hAnsi="Calibri"/>
          <w:sz w:val="22"/>
          <w:szCs w:val="22"/>
          <w:shd w:val="clear" w:color="auto" w:fill="FFFFFF"/>
        </w:rPr>
        <w:t>-</w:t>
      </w:r>
      <w:r>
        <w:rPr>
          <w:rFonts w:ascii="Calibri" w:hAnsi="Calibri"/>
          <w:sz w:val="22"/>
          <w:szCs w:val="22"/>
          <w:shd w:val="clear" w:color="auto" w:fill="FFFFFF"/>
        </w:rPr>
        <w:t xml:space="preserve">campeggio per i quali si stima una sostanziale stabilità. </w:t>
      </w:r>
    </w:p>
    <w:p w14:paraId="750CBC29" w14:textId="5FCF4D61" w:rsidR="00EC6EC9" w:rsidRDefault="00092100"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Il fatturato</w:t>
      </w:r>
      <w:r w:rsidR="00EC6EC9">
        <w:rPr>
          <w:rFonts w:ascii="Calibri" w:hAnsi="Calibri"/>
          <w:sz w:val="22"/>
          <w:szCs w:val="22"/>
          <w:shd w:val="clear" w:color="auto" w:fill="FFFFFF"/>
        </w:rPr>
        <w:t xml:space="preserve"> aumenta all'incirca quanto le presenze </w:t>
      </w:r>
      <w:r w:rsidR="00D2069A">
        <w:rPr>
          <w:rFonts w:ascii="Calibri" w:hAnsi="Calibri"/>
          <w:sz w:val="22"/>
          <w:szCs w:val="22"/>
          <w:shd w:val="clear" w:color="auto" w:fill="FFFFFF"/>
        </w:rPr>
        <w:t xml:space="preserve">degli </w:t>
      </w:r>
      <w:r w:rsidR="00EC6EC9">
        <w:rPr>
          <w:rFonts w:ascii="Calibri" w:hAnsi="Calibri"/>
          <w:sz w:val="22"/>
          <w:szCs w:val="22"/>
          <w:shd w:val="clear" w:color="auto" w:fill="FFFFFF"/>
        </w:rPr>
        <w:t>italian</w:t>
      </w:r>
      <w:r w:rsidR="00D2069A">
        <w:rPr>
          <w:rFonts w:ascii="Calibri" w:hAnsi="Calibri"/>
          <w:sz w:val="22"/>
          <w:szCs w:val="22"/>
          <w:shd w:val="clear" w:color="auto" w:fill="FFFFFF"/>
        </w:rPr>
        <w:t>i</w:t>
      </w:r>
      <w:r w:rsidR="00EC6EC9">
        <w:rPr>
          <w:rFonts w:ascii="Calibri" w:hAnsi="Calibri"/>
          <w:sz w:val="22"/>
          <w:szCs w:val="22"/>
          <w:shd w:val="clear" w:color="auto" w:fill="FFFFFF"/>
        </w:rPr>
        <w:t xml:space="preserve">, ma meno </w:t>
      </w:r>
      <w:r w:rsidR="00D2069A">
        <w:rPr>
          <w:rFonts w:ascii="Calibri" w:hAnsi="Calibri"/>
          <w:sz w:val="22"/>
          <w:szCs w:val="22"/>
          <w:shd w:val="clear" w:color="auto" w:fill="FFFFFF"/>
        </w:rPr>
        <w:t>delle</w:t>
      </w:r>
      <w:r w:rsidR="00EC6EC9">
        <w:rPr>
          <w:rFonts w:ascii="Calibri" w:hAnsi="Calibri"/>
          <w:sz w:val="22"/>
          <w:szCs w:val="22"/>
          <w:shd w:val="clear" w:color="auto" w:fill="FFFFFF"/>
        </w:rPr>
        <w:t xml:space="preserve"> presenze straniere. Il fatto potrebbe essere da collegare alla distribuzione </w:t>
      </w:r>
      <w:r w:rsidR="00D2069A">
        <w:rPr>
          <w:rFonts w:ascii="Calibri" w:hAnsi="Calibri"/>
          <w:sz w:val="22"/>
          <w:szCs w:val="22"/>
          <w:shd w:val="clear" w:color="auto" w:fill="FFFFFF"/>
        </w:rPr>
        <w:t>territoriale dell'</w:t>
      </w:r>
      <w:r w:rsidR="00EC6EC9">
        <w:rPr>
          <w:rFonts w:ascii="Calibri" w:hAnsi="Calibri"/>
          <w:sz w:val="22"/>
          <w:szCs w:val="22"/>
          <w:shd w:val="clear" w:color="auto" w:fill="FFFFFF"/>
        </w:rPr>
        <w:t>aumento</w:t>
      </w:r>
      <w:r w:rsidR="00D2069A">
        <w:rPr>
          <w:rFonts w:ascii="Calibri" w:hAnsi="Calibri"/>
          <w:sz w:val="22"/>
          <w:szCs w:val="22"/>
          <w:shd w:val="clear" w:color="auto" w:fill="FFFFFF"/>
        </w:rPr>
        <w:t xml:space="preserve"> di stranieri</w:t>
      </w:r>
      <w:r w:rsidR="00EC6EC9">
        <w:rPr>
          <w:rFonts w:ascii="Calibri" w:hAnsi="Calibri"/>
          <w:sz w:val="22"/>
          <w:szCs w:val="22"/>
          <w:shd w:val="clear" w:color="auto" w:fill="FFFFFF"/>
        </w:rPr>
        <w:t xml:space="preserve">: la crescita più forte </w:t>
      </w:r>
      <w:r w:rsidR="00EC6EC9">
        <w:rPr>
          <w:rFonts w:ascii="Calibri" w:hAnsi="Calibri"/>
          <w:sz w:val="22"/>
          <w:szCs w:val="22"/>
          <w:shd w:val="clear" w:color="auto" w:fill="FFFFFF"/>
        </w:rPr>
        <w:lastRenderedPageBreak/>
        <w:t>lontano dalla costa, può essere dovuta ad un target straniero che cerca una sistemazione economia, a fronte di una offerta che, in alcuni periodi dell'anno, risulta mediamente cara.</w:t>
      </w:r>
    </w:p>
    <w:p w14:paraId="6D6BD7DE" w14:textId="77777777" w:rsidR="00CB4BA6" w:rsidRDefault="006972BA" w:rsidP="006E0627">
      <w:pPr>
        <w:pStyle w:val="Titolo2"/>
        <w:spacing w:before="0"/>
        <w:rPr>
          <w:shd w:val="clear" w:color="auto" w:fill="FFFFFF"/>
        </w:rPr>
      </w:pPr>
      <w:bookmarkStart w:id="0" w:name="_Toc346891768"/>
      <w:r>
        <w:rPr>
          <w:shd w:val="clear" w:color="auto" w:fill="FFFFFF"/>
        </w:rPr>
        <w:t>Andamento per risorsa prevalente</w:t>
      </w:r>
      <w:bookmarkEnd w:id="0"/>
    </w:p>
    <w:p w14:paraId="5D455AAE" w14:textId="7EECCFA3" w:rsidR="00091D89" w:rsidRDefault="00C91B57"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 xml:space="preserve">I pernottamenti nelle aree costiere, </w:t>
      </w:r>
      <w:r w:rsidR="004854E3">
        <w:rPr>
          <w:rFonts w:ascii="Calibri" w:hAnsi="Calibri"/>
          <w:sz w:val="22"/>
          <w:szCs w:val="22"/>
          <w:shd w:val="clear" w:color="auto" w:fill="FFFFFF"/>
        </w:rPr>
        <w:t xml:space="preserve">che rappresentano la quota parte più grande </w:t>
      </w:r>
      <w:r>
        <w:rPr>
          <w:rFonts w:ascii="Calibri" w:hAnsi="Calibri"/>
          <w:sz w:val="22"/>
          <w:szCs w:val="22"/>
          <w:shd w:val="clear" w:color="auto" w:fill="FFFFFF"/>
        </w:rPr>
        <w:t xml:space="preserve">per questa tipologia ricettiva, </w:t>
      </w:r>
      <w:r w:rsidR="00D1409D">
        <w:rPr>
          <w:rFonts w:ascii="Calibri" w:hAnsi="Calibri"/>
          <w:sz w:val="22"/>
          <w:szCs w:val="22"/>
          <w:shd w:val="clear" w:color="auto" w:fill="FFFFFF"/>
        </w:rPr>
        <w:t>preved</w:t>
      </w:r>
      <w:r>
        <w:rPr>
          <w:rFonts w:ascii="Calibri" w:hAnsi="Calibri"/>
          <w:sz w:val="22"/>
          <w:szCs w:val="22"/>
          <w:shd w:val="clear" w:color="auto" w:fill="FFFFFF"/>
        </w:rPr>
        <w:t>ono</w:t>
      </w:r>
      <w:r w:rsidR="00D1409D">
        <w:rPr>
          <w:rFonts w:ascii="Calibri" w:hAnsi="Calibri"/>
          <w:sz w:val="22"/>
          <w:szCs w:val="22"/>
          <w:shd w:val="clear" w:color="auto" w:fill="FFFFFF"/>
        </w:rPr>
        <w:t xml:space="preserve"> </w:t>
      </w:r>
      <w:r w:rsidR="00BA60A7">
        <w:rPr>
          <w:rFonts w:ascii="Calibri" w:hAnsi="Calibri"/>
          <w:sz w:val="22"/>
          <w:szCs w:val="22"/>
          <w:shd w:val="clear" w:color="auto" w:fill="FFFFFF"/>
        </w:rPr>
        <w:t>per il 201</w:t>
      </w:r>
      <w:r w:rsidR="00E51221">
        <w:rPr>
          <w:rFonts w:ascii="Calibri" w:hAnsi="Calibri"/>
          <w:sz w:val="22"/>
          <w:szCs w:val="22"/>
          <w:shd w:val="clear" w:color="auto" w:fill="FFFFFF"/>
        </w:rPr>
        <w:t>7 un aumento del 2,5</w:t>
      </w:r>
      <w:r w:rsidR="00BA60A7">
        <w:rPr>
          <w:rFonts w:ascii="Calibri" w:hAnsi="Calibri"/>
          <w:sz w:val="22"/>
          <w:szCs w:val="22"/>
          <w:shd w:val="clear" w:color="auto" w:fill="FFFFFF"/>
        </w:rPr>
        <w:t xml:space="preserve">%, </w:t>
      </w:r>
      <w:r w:rsidR="004854E3">
        <w:rPr>
          <w:rFonts w:ascii="Calibri" w:hAnsi="Calibri"/>
          <w:sz w:val="22"/>
          <w:szCs w:val="22"/>
          <w:shd w:val="clear" w:color="auto" w:fill="FFFFFF"/>
        </w:rPr>
        <w:t>uguale</w:t>
      </w:r>
      <w:r w:rsidR="00E51221">
        <w:rPr>
          <w:rFonts w:ascii="Calibri" w:hAnsi="Calibri"/>
          <w:sz w:val="22"/>
          <w:szCs w:val="22"/>
          <w:shd w:val="clear" w:color="auto" w:fill="FFFFFF"/>
        </w:rPr>
        <w:t xml:space="preserve"> per la componente italiana e </w:t>
      </w:r>
      <w:r w:rsidR="004854E3">
        <w:rPr>
          <w:rFonts w:ascii="Calibri" w:hAnsi="Calibri"/>
          <w:sz w:val="22"/>
          <w:szCs w:val="22"/>
          <w:shd w:val="clear" w:color="auto" w:fill="FFFFFF"/>
        </w:rPr>
        <w:t xml:space="preserve">per </w:t>
      </w:r>
      <w:r w:rsidR="00E51221">
        <w:rPr>
          <w:rFonts w:ascii="Calibri" w:hAnsi="Calibri"/>
          <w:sz w:val="22"/>
          <w:szCs w:val="22"/>
          <w:shd w:val="clear" w:color="auto" w:fill="FFFFFF"/>
        </w:rPr>
        <w:t>quella straniera</w:t>
      </w:r>
      <w:r w:rsidR="00C923F8">
        <w:rPr>
          <w:rFonts w:ascii="Calibri" w:hAnsi="Calibri"/>
          <w:sz w:val="22"/>
          <w:szCs w:val="22"/>
          <w:shd w:val="clear" w:color="auto" w:fill="FFFFFF"/>
        </w:rPr>
        <w:t>.</w:t>
      </w:r>
    </w:p>
    <w:p w14:paraId="6F9BC43D" w14:textId="73575E08" w:rsidR="00233296" w:rsidRDefault="00233296"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 xml:space="preserve">Arte e Affari è l'ambito territoriale nel quale gli imprenditori prevedono una crescita maggiore (+3,8% totale, +4,0% stranieri, +2,1% italiani), confermando un andamento strutturale già </w:t>
      </w:r>
      <w:r w:rsidR="004854E3">
        <w:rPr>
          <w:rFonts w:ascii="Calibri" w:hAnsi="Calibri"/>
          <w:sz w:val="22"/>
          <w:szCs w:val="22"/>
          <w:shd w:val="clear" w:color="auto" w:fill="FFFFFF"/>
        </w:rPr>
        <w:t>visto ne</w:t>
      </w:r>
      <w:r>
        <w:rPr>
          <w:rFonts w:ascii="Calibri" w:hAnsi="Calibri"/>
          <w:sz w:val="22"/>
          <w:szCs w:val="22"/>
          <w:shd w:val="clear" w:color="auto" w:fill="FFFFFF"/>
        </w:rPr>
        <w:t xml:space="preserve">gli anni passati. </w:t>
      </w:r>
    </w:p>
    <w:p w14:paraId="41FDC33A" w14:textId="79BF54D6" w:rsidR="00233296" w:rsidRDefault="00DE4823"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 xml:space="preserve">Così come cresce il flusso verso </w:t>
      </w:r>
      <w:r w:rsidR="003940CD">
        <w:rPr>
          <w:rFonts w:ascii="Calibri" w:hAnsi="Calibri"/>
          <w:sz w:val="22"/>
          <w:szCs w:val="22"/>
          <w:shd w:val="clear" w:color="auto" w:fill="FFFFFF"/>
        </w:rPr>
        <w:t>le</w:t>
      </w:r>
      <w:r>
        <w:rPr>
          <w:rFonts w:ascii="Calibri" w:hAnsi="Calibri"/>
          <w:sz w:val="22"/>
          <w:szCs w:val="22"/>
          <w:shd w:val="clear" w:color="auto" w:fill="FFFFFF"/>
        </w:rPr>
        <w:t xml:space="preserve"> città d'arte, cresce anche la domanda legata alla campagna e ai territori non caratterizzati da una risorsa forte ma di collegamento tra le diverse caratteristiche del territorio, ambiti che abbiamo definito "tipicità toscane". L'aumento totale del 3,6%</w:t>
      </w:r>
      <w:r w:rsidR="004854E3">
        <w:rPr>
          <w:rFonts w:ascii="Calibri" w:hAnsi="Calibri"/>
          <w:sz w:val="22"/>
          <w:szCs w:val="22"/>
          <w:shd w:val="clear" w:color="auto" w:fill="FFFFFF"/>
        </w:rPr>
        <w:t>,</w:t>
      </w:r>
      <w:r>
        <w:rPr>
          <w:rFonts w:ascii="Calibri" w:hAnsi="Calibri"/>
          <w:sz w:val="22"/>
          <w:szCs w:val="22"/>
          <w:shd w:val="clear" w:color="auto" w:fill="FFFFFF"/>
        </w:rPr>
        <w:t xml:space="preserve"> in questo caso deriva da una componente straniera ancora più forte (+4,0) rispetto a quella italiana (+1,2%).</w:t>
      </w:r>
    </w:p>
    <w:p w14:paraId="4506D99F" w14:textId="119CDE03" w:rsidR="0021679B" w:rsidRPr="0021679B" w:rsidRDefault="002A0258" w:rsidP="006E0627">
      <w:pPr>
        <w:shd w:val="clear" w:color="auto" w:fill="FFFFFF"/>
        <w:jc w:val="both"/>
        <w:rPr>
          <w:rFonts w:ascii="Calibri" w:hAnsi="Calibri"/>
          <w:i/>
          <w:sz w:val="22"/>
          <w:szCs w:val="22"/>
          <w:shd w:val="clear" w:color="auto" w:fill="FFFFFF"/>
        </w:rPr>
      </w:pPr>
      <w:r w:rsidRPr="004C195E">
        <w:rPr>
          <w:i/>
          <w:shd w:val="clear" w:color="auto" w:fill="FFFFFF"/>
        </w:rPr>
        <w:t xml:space="preserve">Fig. </w:t>
      </w:r>
      <w:r w:rsidRPr="004C195E">
        <w:rPr>
          <w:i/>
          <w:shd w:val="clear" w:color="auto" w:fill="FFFFFF"/>
        </w:rPr>
        <w:fldChar w:fldCharType="begin"/>
      </w:r>
      <w:r w:rsidRPr="004C195E">
        <w:rPr>
          <w:i/>
          <w:shd w:val="clear" w:color="auto" w:fill="FFFFFF"/>
        </w:rPr>
        <w:instrText xml:space="preserve"> SEQ Fig._ \* ARABIC </w:instrText>
      </w:r>
      <w:r w:rsidRPr="004C195E">
        <w:rPr>
          <w:i/>
          <w:shd w:val="clear" w:color="auto" w:fill="FFFFFF"/>
        </w:rPr>
        <w:fldChar w:fldCharType="separate"/>
      </w:r>
      <w:r>
        <w:rPr>
          <w:i/>
          <w:noProof/>
          <w:shd w:val="clear" w:color="auto" w:fill="FFFFFF"/>
        </w:rPr>
        <w:t>2</w:t>
      </w:r>
      <w:r w:rsidRPr="004C195E">
        <w:rPr>
          <w:i/>
          <w:shd w:val="clear" w:color="auto" w:fill="FFFFFF"/>
        </w:rPr>
        <w:fldChar w:fldCharType="end"/>
      </w:r>
      <w:r w:rsidRPr="004C195E">
        <w:rPr>
          <w:i/>
          <w:shd w:val="clear" w:color="auto" w:fill="FFFFFF"/>
        </w:rPr>
        <w:t xml:space="preserve">. </w:t>
      </w:r>
      <w:r w:rsidR="00B82E2C" w:rsidRPr="00B82E2C">
        <w:rPr>
          <w:rFonts w:ascii="Calibri" w:hAnsi="Calibri"/>
          <w:i/>
          <w:sz w:val="22"/>
          <w:szCs w:val="22"/>
          <w:shd w:val="clear" w:color="auto" w:fill="FFFFFF"/>
        </w:rPr>
        <w:t xml:space="preserve">variazione </w:t>
      </w:r>
      <w:r w:rsidR="008A67B9">
        <w:rPr>
          <w:rFonts w:ascii="Calibri" w:hAnsi="Calibri"/>
          <w:i/>
          <w:sz w:val="22"/>
          <w:szCs w:val="22"/>
          <w:shd w:val="clear" w:color="auto" w:fill="FFFFFF"/>
        </w:rPr>
        <w:t>prevista dei</w:t>
      </w:r>
      <w:r w:rsidR="00C92EDD">
        <w:rPr>
          <w:rFonts w:ascii="Calibri" w:hAnsi="Calibri"/>
          <w:i/>
          <w:sz w:val="22"/>
          <w:szCs w:val="22"/>
          <w:shd w:val="clear" w:color="auto" w:fill="FFFFFF"/>
        </w:rPr>
        <w:t xml:space="preserve"> </w:t>
      </w:r>
      <w:r w:rsidR="00B82E2C" w:rsidRPr="00B82E2C">
        <w:rPr>
          <w:rFonts w:ascii="Calibri" w:hAnsi="Calibri"/>
          <w:i/>
          <w:sz w:val="22"/>
          <w:szCs w:val="22"/>
          <w:shd w:val="clear" w:color="auto" w:fill="FFFFFF"/>
        </w:rPr>
        <w:t>pernottamenti per origine e risorsa prevalente</w:t>
      </w:r>
      <w:r w:rsidR="0021679B" w:rsidRPr="0021679B">
        <w:rPr>
          <w:rFonts w:ascii="Calibri" w:hAnsi="Calibri"/>
          <w:i/>
          <w:sz w:val="22"/>
          <w:szCs w:val="22"/>
          <w:shd w:val="clear" w:color="auto" w:fill="FFFFFF"/>
        </w:rPr>
        <w:t xml:space="preserve">. </w:t>
      </w:r>
      <w:r w:rsidR="0021679B">
        <w:rPr>
          <w:rFonts w:ascii="Calibri" w:hAnsi="Calibri"/>
          <w:i/>
          <w:sz w:val="22"/>
          <w:szCs w:val="22"/>
          <w:shd w:val="clear" w:color="auto" w:fill="FFFFFF"/>
        </w:rPr>
        <w:t>Anno</w:t>
      </w:r>
      <w:r w:rsidR="008A67B9">
        <w:rPr>
          <w:rFonts w:ascii="Calibri" w:hAnsi="Calibri"/>
          <w:i/>
          <w:sz w:val="22"/>
          <w:szCs w:val="22"/>
          <w:shd w:val="clear" w:color="auto" w:fill="FFFFFF"/>
        </w:rPr>
        <w:t xml:space="preserve"> 2017</w:t>
      </w:r>
    </w:p>
    <w:p w14:paraId="32D77005" w14:textId="634788FC" w:rsidR="0021679B" w:rsidRDefault="008A67B9" w:rsidP="006E0627">
      <w:pPr>
        <w:shd w:val="clear" w:color="auto" w:fill="FFFFFF"/>
        <w:jc w:val="both"/>
        <w:rPr>
          <w:rFonts w:ascii="Calibri" w:hAnsi="Calibri"/>
          <w:sz w:val="22"/>
          <w:szCs w:val="22"/>
          <w:shd w:val="clear" w:color="auto" w:fill="FFFFFF"/>
        </w:rPr>
      </w:pPr>
      <w:r>
        <w:rPr>
          <w:rFonts w:ascii="Calibri" w:hAnsi="Calibri"/>
          <w:noProof/>
          <w:sz w:val="22"/>
          <w:szCs w:val="22"/>
          <w:shd w:val="clear" w:color="auto" w:fill="FFFFFF"/>
        </w:rPr>
        <w:drawing>
          <wp:inline distT="0" distB="0" distL="0" distR="0" wp14:anchorId="37103355" wp14:editId="3B3CDFF0">
            <wp:extent cx="2926422" cy="3490155"/>
            <wp:effectExtent l="0" t="0" r="0" b="0"/>
            <wp:docPr id="8"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6422" cy="3490155"/>
                    </a:xfrm>
                    <a:prstGeom prst="rect">
                      <a:avLst/>
                    </a:prstGeom>
                    <a:noFill/>
                    <a:ln>
                      <a:noFill/>
                    </a:ln>
                  </pic:spPr>
                </pic:pic>
              </a:graphicData>
            </a:graphic>
          </wp:inline>
        </w:drawing>
      </w:r>
    </w:p>
    <w:p w14:paraId="0DF13FB1" w14:textId="35174A27" w:rsidR="0021679B" w:rsidRDefault="003940CD" w:rsidP="006E0627">
      <w:pPr>
        <w:shd w:val="clear" w:color="auto" w:fill="FFFFFF"/>
        <w:jc w:val="both"/>
        <w:rPr>
          <w:rFonts w:ascii="Calibri" w:hAnsi="Calibri"/>
          <w:sz w:val="22"/>
          <w:szCs w:val="22"/>
          <w:shd w:val="clear" w:color="auto" w:fill="FFFFFF"/>
        </w:rPr>
      </w:pPr>
      <w:r w:rsidRPr="00074622">
        <w:rPr>
          <w:rFonts w:ascii="Calibri" w:hAnsi="Calibri"/>
          <w:sz w:val="22"/>
          <w:szCs w:val="22"/>
          <w:shd w:val="clear" w:color="auto" w:fill="FFFFFF"/>
        </w:rPr>
        <w:lastRenderedPageBreak/>
        <w:t>I turismo all'aria aperta in Toscana vede prevalere gli ospiti italiani che rappresentano, nel totale delle strutture ricettive della regione, il 54% dei pernottamenti. Il valore è fortemente condizionato da quanto avviene nelle aree costiere</w:t>
      </w:r>
      <w:r w:rsidR="0030273C" w:rsidRPr="00074622">
        <w:rPr>
          <w:rFonts w:ascii="Calibri" w:hAnsi="Calibri"/>
          <w:sz w:val="22"/>
          <w:szCs w:val="22"/>
          <w:shd w:val="clear" w:color="auto" w:fill="FFFFFF"/>
        </w:rPr>
        <w:t xml:space="preserve"> dove la</w:t>
      </w:r>
      <w:r w:rsidRPr="00074622">
        <w:rPr>
          <w:rFonts w:ascii="Calibri" w:hAnsi="Calibri"/>
          <w:sz w:val="22"/>
          <w:szCs w:val="22"/>
          <w:shd w:val="clear" w:color="auto" w:fill="FFFFFF"/>
        </w:rPr>
        <w:t xml:space="preserve"> </w:t>
      </w:r>
      <w:r w:rsidR="00B82E2C" w:rsidRPr="00074622">
        <w:rPr>
          <w:rFonts w:ascii="Calibri" w:hAnsi="Calibri"/>
          <w:sz w:val="22"/>
          <w:szCs w:val="22"/>
          <w:shd w:val="clear" w:color="auto" w:fill="FFFFFF"/>
        </w:rPr>
        <w:t xml:space="preserve">percentuale degli italiani </w:t>
      </w:r>
      <w:r w:rsidR="0030273C" w:rsidRPr="00074622">
        <w:rPr>
          <w:rFonts w:ascii="Calibri" w:hAnsi="Calibri"/>
          <w:sz w:val="22"/>
          <w:szCs w:val="22"/>
          <w:shd w:val="clear" w:color="auto" w:fill="FFFFFF"/>
        </w:rPr>
        <w:t xml:space="preserve">si attesta intorno al </w:t>
      </w:r>
      <w:r w:rsidRPr="00074622">
        <w:rPr>
          <w:rFonts w:ascii="Calibri" w:hAnsi="Calibri"/>
          <w:sz w:val="22"/>
          <w:szCs w:val="22"/>
          <w:shd w:val="clear" w:color="auto" w:fill="FFFFFF"/>
        </w:rPr>
        <w:t>60</w:t>
      </w:r>
      <w:r w:rsidR="00B82E2C" w:rsidRPr="00074622">
        <w:rPr>
          <w:rFonts w:ascii="Calibri" w:hAnsi="Calibri"/>
          <w:sz w:val="22"/>
          <w:szCs w:val="22"/>
          <w:shd w:val="clear" w:color="auto" w:fill="FFFFFF"/>
        </w:rPr>
        <w:t>%</w:t>
      </w:r>
      <w:r w:rsidRPr="00074622">
        <w:rPr>
          <w:rFonts w:ascii="Calibri" w:hAnsi="Calibri"/>
          <w:sz w:val="22"/>
          <w:szCs w:val="22"/>
          <w:shd w:val="clear" w:color="auto" w:fill="FFFFFF"/>
        </w:rPr>
        <w:t xml:space="preserve"> circa</w:t>
      </w:r>
      <w:r w:rsidR="0030273C" w:rsidRPr="00074622">
        <w:rPr>
          <w:rFonts w:ascii="Calibri" w:hAnsi="Calibri"/>
          <w:sz w:val="22"/>
          <w:szCs w:val="22"/>
          <w:shd w:val="clear" w:color="auto" w:fill="FFFFFF"/>
        </w:rPr>
        <w:t xml:space="preserve">. </w:t>
      </w:r>
      <w:r w:rsidR="00B82E2C" w:rsidRPr="00074622">
        <w:rPr>
          <w:rFonts w:ascii="Calibri" w:hAnsi="Calibri"/>
          <w:sz w:val="22"/>
          <w:szCs w:val="22"/>
          <w:shd w:val="clear" w:color="auto" w:fill="FFFFFF"/>
        </w:rPr>
        <w:t xml:space="preserve"> </w:t>
      </w:r>
      <w:r w:rsidR="0030273C" w:rsidRPr="00074622">
        <w:rPr>
          <w:rFonts w:ascii="Calibri" w:hAnsi="Calibri"/>
          <w:sz w:val="22"/>
          <w:szCs w:val="22"/>
          <w:shd w:val="clear" w:color="auto" w:fill="FFFFFF"/>
        </w:rPr>
        <w:t xml:space="preserve">Nei territori dove prevalgono le </w:t>
      </w:r>
      <w:r w:rsidR="00B82E2C" w:rsidRPr="00074622">
        <w:rPr>
          <w:rFonts w:ascii="Calibri" w:hAnsi="Calibri"/>
          <w:sz w:val="22"/>
          <w:szCs w:val="22"/>
          <w:shd w:val="clear" w:color="auto" w:fill="FFFFFF"/>
        </w:rPr>
        <w:t xml:space="preserve">altre risorse è la componente straniera quella che raccoglie la parte più grossa. </w:t>
      </w:r>
      <w:r w:rsidR="0061415A" w:rsidRPr="00074622">
        <w:rPr>
          <w:rFonts w:ascii="Calibri" w:hAnsi="Calibri"/>
          <w:sz w:val="22"/>
          <w:szCs w:val="22"/>
          <w:shd w:val="clear" w:color="auto" w:fill="FFFFFF"/>
        </w:rPr>
        <w:t>In particolare</w:t>
      </w:r>
      <w:r w:rsidR="0030273C" w:rsidRPr="00074622">
        <w:rPr>
          <w:rFonts w:ascii="Calibri" w:hAnsi="Calibri"/>
          <w:sz w:val="22"/>
          <w:szCs w:val="22"/>
          <w:shd w:val="clear" w:color="auto" w:fill="FFFFFF"/>
        </w:rPr>
        <w:t>,</w:t>
      </w:r>
      <w:r w:rsidR="0061415A" w:rsidRPr="00074622">
        <w:rPr>
          <w:rFonts w:ascii="Calibri" w:hAnsi="Calibri"/>
          <w:sz w:val="22"/>
          <w:szCs w:val="22"/>
          <w:shd w:val="clear" w:color="auto" w:fill="FFFFFF"/>
        </w:rPr>
        <w:t xml:space="preserve"> </w:t>
      </w:r>
      <w:r w:rsidR="0030273C" w:rsidRPr="00074622">
        <w:rPr>
          <w:rFonts w:ascii="Calibri" w:hAnsi="Calibri"/>
          <w:sz w:val="22"/>
          <w:szCs w:val="22"/>
          <w:shd w:val="clear" w:color="auto" w:fill="FFFFFF"/>
        </w:rPr>
        <w:t>l'inversione del dato si rileva</w:t>
      </w:r>
      <w:r w:rsidR="0061415A" w:rsidRPr="00074622">
        <w:rPr>
          <w:rFonts w:ascii="Calibri" w:hAnsi="Calibri"/>
          <w:sz w:val="22"/>
          <w:szCs w:val="22"/>
          <w:shd w:val="clear" w:color="auto" w:fill="FFFFFF"/>
        </w:rPr>
        <w:t xml:space="preserve"> nelle destinazioni arte affari</w:t>
      </w:r>
      <w:r w:rsidR="0030273C" w:rsidRPr="00074622">
        <w:rPr>
          <w:rFonts w:ascii="Calibri" w:hAnsi="Calibri"/>
          <w:sz w:val="22"/>
          <w:szCs w:val="22"/>
          <w:shd w:val="clear" w:color="auto" w:fill="FFFFFF"/>
        </w:rPr>
        <w:t>,</w:t>
      </w:r>
      <w:r w:rsidR="0061415A" w:rsidRPr="00074622">
        <w:rPr>
          <w:rFonts w:ascii="Calibri" w:hAnsi="Calibri"/>
          <w:sz w:val="22"/>
          <w:szCs w:val="22"/>
          <w:shd w:val="clear" w:color="auto" w:fill="FFFFFF"/>
        </w:rPr>
        <w:t xml:space="preserve"> dove il valore dei </w:t>
      </w:r>
      <w:r w:rsidR="0030273C" w:rsidRPr="00074622">
        <w:rPr>
          <w:rFonts w:ascii="Calibri" w:hAnsi="Calibri"/>
          <w:sz w:val="22"/>
          <w:szCs w:val="22"/>
          <w:shd w:val="clear" w:color="auto" w:fill="FFFFFF"/>
        </w:rPr>
        <w:t xml:space="preserve">pernottamenti dei turisti </w:t>
      </w:r>
      <w:r w:rsidR="0061415A" w:rsidRPr="00074622">
        <w:rPr>
          <w:rFonts w:ascii="Calibri" w:hAnsi="Calibri"/>
          <w:sz w:val="22"/>
          <w:szCs w:val="22"/>
          <w:shd w:val="clear" w:color="auto" w:fill="FFFFFF"/>
        </w:rPr>
        <w:t xml:space="preserve">da oltre confine è </w:t>
      </w:r>
      <w:r w:rsidR="0030273C" w:rsidRPr="00074622">
        <w:rPr>
          <w:rFonts w:ascii="Calibri" w:hAnsi="Calibri"/>
          <w:sz w:val="22"/>
          <w:szCs w:val="22"/>
          <w:shd w:val="clear" w:color="auto" w:fill="FFFFFF"/>
        </w:rPr>
        <w:t>previsto attestarsi intorno all'86%, e in quelle della tipicità Toscana che raggiungono il 79% di stranieri.</w:t>
      </w:r>
      <w:bookmarkStart w:id="1" w:name="_GoBack"/>
      <w:bookmarkEnd w:id="1"/>
    </w:p>
    <w:p w14:paraId="7B2534E6" w14:textId="6F8E70F0" w:rsidR="0061415A" w:rsidRDefault="002A0258" w:rsidP="006E0627">
      <w:pPr>
        <w:shd w:val="clear" w:color="auto" w:fill="FFFFFF"/>
        <w:jc w:val="both"/>
        <w:rPr>
          <w:rFonts w:ascii="Calibri" w:hAnsi="Calibri"/>
          <w:i/>
          <w:sz w:val="22"/>
          <w:szCs w:val="22"/>
          <w:shd w:val="clear" w:color="auto" w:fill="FFFFFF"/>
        </w:rPr>
      </w:pPr>
      <w:r w:rsidRPr="004C195E">
        <w:rPr>
          <w:i/>
          <w:shd w:val="clear" w:color="auto" w:fill="FFFFFF"/>
        </w:rPr>
        <w:t xml:space="preserve">Fig. </w:t>
      </w:r>
      <w:r w:rsidRPr="004C195E">
        <w:rPr>
          <w:i/>
          <w:shd w:val="clear" w:color="auto" w:fill="FFFFFF"/>
        </w:rPr>
        <w:fldChar w:fldCharType="begin"/>
      </w:r>
      <w:r w:rsidRPr="004C195E">
        <w:rPr>
          <w:i/>
          <w:shd w:val="clear" w:color="auto" w:fill="FFFFFF"/>
        </w:rPr>
        <w:instrText xml:space="preserve"> SEQ Fig._ \* ARABIC </w:instrText>
      </w:r>
      <w:r w:rsidRPr="004C195E">
        <w:rPr>
          <w:i/>
          <w:shd w:val="clear" w:color="auto" w:fill="FFFFFF"/>
        </w:rPr>
        <w:fldChar w:fldCharType="separate"/>
      </w:r>
      <w:r>
        <w:rPr>
          <w:i/>
          <w:noProof/>
          <w:shd w:val="clear" w:color="auto" w:fill="FFFFFF"/>
        </w:rPr>
        <w:t>3</w:t>
      </w:r>
      <w:r w:rsidRPr="004C195E">
        <w:rPr>
          <w:i/>
          <w:shd w:val="clear" w:color="auto" w:fill="FFFFFF"/>
        </w:rPr>
        <w:fldChar w:fldCharType="end"/>
      </w:r>
      <w:r w:rsidRPr="004C195E">
        <w:rPr>
          <w:i/>
          <w:shd w:val="clear" w:color="auto" w:fill="FFFFFF"/>
        </w:rPr>
        <w:t xml:space="preserve">. </w:t>
      </w:r>
      <w:r>
        <w:rPr>
          <w:rFonts w:ascii="Calibri" w:hAnsi="Calibri"/>
          <w:i/>
          <w:sz w:val="22"/>
          <w:szCs w:val="22"/>
          <w:shd w:val="clear" w:color="auto" w:fill="FFFFFF"/>
        </w:rPr>
        <w:t>I</w:t>
      </w:r>
      <w:r w:rsidR="0061415A">
        <w:rPr>
          <w:rFonts w:ascii="Calibri" w:hAnsi="Calibri"/>
          <w:i/>
          <w:sz w:val="22"/>
          <w:szCs w:val="22"/>
          <w:shd w:val="clear" w:color="auto" w:fill="FFFFFF"/>
        </w:rPr>
        <w:t xml:space="preserve">ncidenza dei flussi per origine </w:t>
      </w:r>
      <w:r w:rsidR="006940C5">
        <w:rPr>
          <w:rFonts w:ascii="Calibri" w:hAnsi="Calibri"/>
          <w:i/>
          <w:sz w:val="22"/>
          <w:szCs w:val="22"/>
          <w:shd w:val="clear" w:color="auto" w:fill="FFFFFF"/>
        </w:rPr>
        <w:t>e risorsa prevalente</w:t>
      </w:r>
      <w:r w:rsidR="0061415A">
        <w:rPr>
          <w:rFonts w:ascii="Calibri" w:hAnsi="Calibri"/>
          <w:i/>
          <w:sz w:val="22"/>
          <w:szCs w:val="22"/>
          <w:shd w:val="clear" w:color="auto" w:fill="FFFFFF"/>
        </w:rPr>
        <w:t>. Anno</w:t>
      </w:r>
      <w:r w:rsidR="0061415A" w:rsidRPr="0021679B">
        <w:rPr>
          <w:rFonts w:ascii="Calibri" w:hAnsi="Calibri"/>
          <w:i/>
          <w:sz w:val="22"/>
          <w:szCs w:val="22"/>
          <w:shd w:val="clear" w:color="auto" w:fill="FFFFFF"/>
        </w:rPr>
        <w:t xml:space="preserve"> 201</w:t>
      </w:r>
      <w:r w:rsidR="00CF13C8">
        <w:rPr>
          <w:rFonts w:ascii="Calibri" w:hAnsi="Calibri"/>
          <w:i/>
          <w:sz w:val="22"/>
          <w:szCs w:val="22"/>
          <w:shd w:val="clear" w:color="auto" w:fill="FFFFFF"/>
        </w:rPr>
        <w:t>7</w:t>
      </w:r>
    </w:p>
    <w:p w14:paraId="5D6B6652" w14:textId="2A35FDDE" w:rsidR="0061415A" w:rsidRPr="0061415A" w:rsidRDefault="0030273C" w:rsidP="006E0627">
      <w:pPr>
        <w:shd w:val="clear" w:color="auto" w:fill="FFFFFF"/>
        <w:jc w:val="both"/>
        <w:rPr>
          <w:rFonts w:ascii="Calibri" w:hAnsi="Calibri"/>
          <w:sz w:val="22"/>
          <w:szCs w:val="22"/>
          <w:shd w:val="clear" w:color="auto" w:fill="FFFFFF"/>
        </w:rPr>
      </w:pPr>
      <w:r>
        <w:rPr>
          <w:rFonts w:ascii="Calibri" w:hAnsi="Calibri"/>
          <w:noProof/>
          <w:sz w:val="22"/>
          <w:szCs w:val="22"/>
          <w:shd w:val="clear" w:color="auto" w:fill="FFFFFF"/>
        </w:rPr>
        <w:drawing>
          <wp:inline distT="0" distB="0" distL="0" distR="0" wp14:anchorId="48C1BCF7" wp14:editId="20665969">
            <wp:extent cx="4382770" cy="2670689"/>
            <wp:effectExtent l="0" t="0" r="1143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2770" cy="2670689"/>
                    </a:xfrm>
                    <a:prstGeom prst="rect">
                      <a:avLst/>
                    </a:prstGeom>
                    <a:noFill/>
                    <a:ln>
                      <a:noFill/>
                    </a:ln>
                  </pic:spPr>
                </pic:pic>
              </a:graphicData>
            </a:graphic>
          </wp:inline>
        </w:drawing>
      </w:r>
    </w:p>
    <w:p w14:paraId="7EBE7888" w14:textId="23110077" w:rsidR="00313C2A" w:rsidRDefault="0030273C"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Secondo le rilevazioni dell'Osservatorio, i</w:t>
      </w:r>
      <w:r w:rsidR="00F460EB">
        <w:rPr>
          <w:rFonts w:ascii="Calibri" w:hAnsi="Calibri"/>
          <w:sz w:val="22"/>
          <w:szCs w:val="22"/>
          <w:shd w:val="clear" w:color="auto" w:fill="FFFFFF"/>
        </w:rPr>
        <w:t xml:space="preserve">l </w:t>
      </w:r>
      <w:r w:rsidR="00CF208A">
        <w:rPr>
          <w:rFonts w:ascii="Calibri" w:hAnsi="Calibri"/>
          <w:sz w:val="22"/>
          <w:szCs w:val="22"/>
          <w:shd w:val="clear" w:color="auto" w:fill="FFFFFF"/>
        </w:rPr>
        <w:t>fatturato</w:t>
      </w:r>
      <w:r w:rsidR="00E23F9A">
        <w:rPr>
          <w:rFonts w:ascii="Calibri" w:hAnsi="Calibri"/>
          <w:sz w:val="22"/>
          <w:szCs w:val="22"/>
          <w:shd w:val="clear" w:color="auto" w:fill="FFFFFF"/>
        </w:rPr>
        <w:t xml:space="preserve"> per la stagione estiva 2017</w:t>
      </w:r>
      <w:r w:rsidR="00CF208A">
        <w:rPr>
          <w:rFonts w:ascii="Calibri" w:hAnsi="Calibri"/>
          <w:sz w:val="22"/>
          <w:szCs w:val="22"/>
          <w:shd w:val="clear" w:color="auto" w:fill="FFFFFF"/>
        </w:rPr>
        <w:t xml:space="preserve"> </w:t>
      </w:r>
      <w:r w:rsidR="00E23F9A">
        <w:rPr>
          <w:rFonts w:ascii="Calibri" w:hAnsi="Calibri"/>
          <w:sz w:val="22"/>
          <w:szCs w:val="22"/>
          <w:shd w:val="clear" w:color="auto" w:fill="FFFFFF"/>
        </w:rPr>
        <w:t>crescerà leggermente meno delle presenze. Mentre l</w:t>
      </w:r>
      <w:r w:rsidR="004854E3">
        <w:rPr>
          <w:rFonts w:ascii="Calibri" w:hAnsi="Calibri"/>
          <w:sz w:val="22"/>
          <w:szCs w:val="22"/>
          <w:shd w:val="clear" w:color="auto" w:fill="FFFFFF"/>
        </w:rPr>
        <w:t>e</w:t>
      </w:r>
      <w:r w:rsidR="00E23F9A">
        <w:rPr>
          <w:rFonts w:ascii="Calibri" w:hAnsi="Calibri"/>
          <w:sz w:val="22"/>
          <w:szCs w:val="22"/>
          <w:shd w:val="clear" w:color="auto" w:fill="FFFFFF"/>
        </w:rPr>
        <w:t xml:space="preserve"> strutture localizzate nelle aree costiere non denunciano una previsione molto dissimile tra </w:t>
      </w:r>
      <w:r w:rsidR="00313C2A">
        <w:rPr>
          <w:rFonts w:ascii="Calibri" w:hAnsi="Calibri"/>
          <w:sz w:val="22"/>
          <w:szCs w:val="22"/>
          <w:shd w:val="clear" w:color="auto" w:fill="FFFFFF"/>
        </w:rPr>
        <w:t xml:space="preserve">variazione delle </w:t>
      </w:r>
      <w:r w:rsidR="00E23F9A">
        <w:rPr>
          <w:rFonts w:ascii="Calibri" w:hAnsi="Calibri"/>
          <w:sz w:val="22"/>
          <w:szCs w:val="22"/>
          <w:shd w:val="clear" w:color="auto" w:fill="FFFFFF"/>
        </w:rPr>
        <w:t xml:space="preserve">presenze e </w:t>
      </w:r>
      <w:r w:rsidR="00313C2A">
        <w:rPr>
          <w:rFonts w:ascii="Calibri" w:hAnsi="Calibri"/>
          <w:sz w:val="22"/>
          <w:szCs w:val="22"/>
          <w:shd w:val="clear" w:color="auto" w:fill="FFFFFF"/>
        </w:rPr>
        <w:t xml:space="preserve">variazione del </w:t>
      </w:r>
      <w:r w:rsidR="00E23F9A">
        <w:rPr>
          <w:rFonts w:ascii="Calibri" w:hAnsi="Calibri"/>
          <w:sz w:val="22"/>
          <w:szCs w:val="22"/>
          <w:shd w:val="clear" w:color="auto" w:fill="FFFFFF"/>
        </w:rPr>
        <w:t>fatturato, quelle delle aree interne segnalano</w:t>
      </w:r>
      <w:r w:rsidR="00313C2A">
        <w:rPr>
          <w:rFonts w:ascii="Calibri" w:hAnsi="Calibri"/>
          <w:sz w:val="22"/>
          <w:szCs w:val="22"/>
          <w:shd w:val="clear" w:color="auto" w:fill="FFFFFF"/>
        </w:rPr>
        <w:t xml:space="preserve"> differenze</w:t>
      </w:r>
      <w:r w:rsidR="00E23F9A">
        <w:rPr>
          <w:rFonts w:ascii="Calibri" w:hAnsi="Calibri"/>
          <w:sz w:val="22"/>
          <w:szCs w:val="22"/>
          <w:shd w:val="clear" w:color="auto" w:fill="FFFFFF"/>
        </w:rPr>
        <w:t xml:space="preserve"> che possono sfiorare 1,4 punti percentuali. Ancora una volta ci troviamo di fronte ad un</w:t>
      </w:r>
      <w:r w:rsidR="007004AF">
        <w:rPr>
          <w:rFonts w:ascii="Calibri" w:hAnsi="Calibri"/>
          <w:sz w:val="22"/>
          <w:szCs w:val="22"/>
          <w:shd w:val="clear" w:color="auto" w:fill="FFFFFF"/>
        </w:rPr>
        <w:t xml:space="preserve">a connessione </w:t>
      </w:r>
      <w:r w:rsidR="00313C2A">
        <w:rPr>
          <w:rFonts w:ascii="Calibri" w:hAnsi="Calibri"/>
          <w:sz w:val="22"/>
          <w:szCs w:val="22"/>
          <w:shd w:val="clear" w:color="auto" w:fill="FFFFFF"/>
        </w:rPr>
        <w:t xml:space="preserve">più stretta </w:t>
      </w:r>
      <w:r w:rsidR="004854E3">
        <w:rPr>
          <w:rFonts w:ascii="Calibri" w:hAnsi="Calibri"/>
          <w:sz w:val="22"/>
          <w:szCs w:val="22"/>
          <w:shd w:val="clear" w:color="auto" w:fill="FFFFFF"/>
        </w:rPr>
        <w:t>della variazione</w:t>
      </w:r>
      <w:r w:rsidR="007004AF">
        <w:rPr>
          <w:rFonts w:ascii="Calibri" w:hAnsi="Calibri"/>
          <w:sz w:val="22"/>
          <w:szCs w:val="22"/>
          <w:shd w:val="clear" w:color="auto" w:fill="FFFFFF"/>
        </w:rPr>
        <w:t xml:space="preserve"> </w:t>
      </w:r>
      <w:r w:rsidR="00313C2A">
        <w:rPr>
          <w:rFonts w:ascii="Calibri" w:hAnsi="Calibri"/>
          <w:sz w:val="22"/>
          <w:szCs w:val="22"/>
          <w:shd w:val="clear" w:color="auto" w:fill="FFFFFF"/>
        </w:rPr>
        <w:t xml:space="preserve">del fatturato </w:t>
      </w:r>
      <w:r w:rsidR="004854E3">
        <w:rPr>
          <w:rFonts w:ascii="Calibri" w:hAnsi="Calibri"/>
          <w:sz w:val="22"/>
          <w:szCs w:val="22"/>
          <w:shd w:val="clear" w:color="auto" w:fill="FFFFFF"/>
        </w:rPr>
        <w:t>con l'</w:t>
      </w:r>
      <w:r w:rsidR="00313C2A">
        <w:rPr>
          <w:rFonts w:ascii="Calibri" w:hAnsi="Calibri"/>
          <w:sz w:val="22"/>
          <w:szCs w:val="22"/>
          <w:shd w:val="clear" w:color="auto" w:fill="FFFFFF"/>
        </w:rPr>
        <w:t xml:space="preserve">aumento delle presenze degli italiani, che non </w:t>
      </w:r>
      <w:r w:rsidR="004854E3">
        <w:rPr>
          <w:rFonts w:ascii="Calibri" w:hAnsi="Calibri"/>
          <w:sz w:val="22"/>
          <w:szCs w:val="22"/>
          <w:shd w:val="clear" w:color="auto" w:fill="FFFFFF"/>
        </w:rPr>
        <w:t>con l'</w:t>
      </w:r>
      <w:r w:rsidR="00313C2A">
        <w:rPr>
          <w:rFonts w:ascii="Calibri" w:hAnsi="Calibri"/>
          <w:sz w:val="22"/>
          <w:szCs w:val="22"/>
          <w:shd w:val="clear" w:color="auto" w:fill="FFFFFF"/>
        </w:rPr>
        <w:t>aumento delle presenze degli stranieri.</w:t>
      </w:r>
    </w:p>
    <w:p w14:paraId="04061BF0" w14:textId="028EA65B" w:rsidR="00CF13C8" w:rsidRPr="00CF13C8" w:rsidRDefault="00CE7BD8" w:rsidP="006E0627">
      <w:pPr>
        <w:shd w:val="clear" w:color="auto" w:fill="FFFFFF"/>
        <w:jc w:val="both"/>
        <w:rPr>
          <w:rFonts w:ascii="Calibri" w:hAnsi="Calibri"/>
          <w:sz w:val="22"/>
          <w:szCs w:val="22"/>
          <w:shd w:val="clear" w:color="auto" w:fill="FFFFFF"/>
        </w:rPr>
      </w:pPr>
      <w:r w:rsidRPr="00CF13C8">
        <w:rPr>
          <w:rFonts w:ascii="Calibri" w:hAnsi="Calibri"/>
          <w:sz w:val="22"/>
          <w:szCs w:val="22"/>
          <w:shd w:val="clear" w:color="auto" w:fill="FFFFFF"/>
        </w:rPr>
        <w:t>Si conferma quanto già intuito nello studio dei valori a consuntivo dell'estate 2016, quando si era ipotizzato che le strutture ricettive</w:t>
      </w:r>
      <w:r w:rsidR="00A2691E">
        <w:rPr>
          <w:rFonts w:ascii="Calibri" w:hAnsi="Calibri"/>
          <w:sz w:val="22"/>
          <w:szCs w:val="22"/>
          <w:shd w:val="clear" w:color="auto" w:fill="FFFFFF"/>
        </w:rPr>
        <w:t xml:space="preserve"> dei </w:t>
      </w:r>
      <w:r w:rsidRPr="00CF13C8">
        <w:rPr>
          <w:rFonts w:ascii="Calibri" w:hAnsi="Calibri"/>
          <w:sz w:val="22"/>
          <w:szCs w:val="22"/>
          <w:shd w:val="clear" w:color="auto" w:fill="FFFFFF"/>
        </w:rPr>
        <w:t>territori legati all'arte, alla cultura e alla cam</w:t>
      </w:r>
      <w:r w:rsidR="00A2691E">
        <w:rPr>
          <w:rFonts w:ascii="Calibri" w:hAnsi="Calibri"/>
          <w:sz w:val="22"/>
          <w:szCs w:val="22"/>
          <w:shd w:val="clear" w:color="auto" w:fill="FFFFFF"/>
        </w:rPr>
        <w:t xml:space="preserve">pagna, </w:t>
      </w:r>
      <w:r w:rsidRPr="00CF13C8">
        <w:rPr>
          <w:rFonts w:ascii="Calibri" w:hAnsi="Calibri"/>
          <w:sz w:val="22"/>
          <w:szCs w:val="22"/>
          <w:shd w:val="clear" w:color="auto" w:fill="FFFFFF"/>
        </w:rPr>
        <w:t>intercett</w:t>
      </w:r>
      <w:r w:rsidR="00A2691E">
        <w:rPr>
          <w:rFonts w:ascii="Calibri" w:hAnsi="Calibri"/>
          <w:sz w:val="22"/>
          <w:szCs w:val="22"/>
          <w:shd w:val="clear" w:color="auto" w:fill="FFFFFF"/>
        </w:rPr>
        <w:t>in</w:t>
      </w:r>
      <w:r w:rsidRPr="00CF13C8">
        <w:rPr>
          <w:rFonts w:ascii="Calibri" w:hAnsi="Calibri"/>
          <w:sz w:val="22"/>
          <w:szCs w:val="22"/>
          <w:shd w:val="clear" w:color="auto" w:fill="FFFFFF"/>
        </w:rPr>
        <w:t xml:space="preserve">o un flusso straniero </w:t>
      </w:r>
      <w:r w:rsidR="00A2691E">
        <w:rPr>
          <w:rFonts w:ascii="Calibri" w:hAnsi="Calibri"/>
          <w:sz w:val="22"/>
          <w:szCs w:val="22"/>
          <w:shd w:val="clear" w:color="auto" w:fill="FFFFFF"/>
        </w:rPr>
        <w:t>che ricerca economie</w:t>
      </w:r>
      <w:r w:rsidR="00CF13C8" w:rsidRPr="00CF13C8">
        <w:rPr>
          <w:rFonts w:ascii="Calibri" w:hAnsi="Calibri"/>
          <w:sz w:val="22"/>
          <w:szCs w:val="22"/>
          <w:shd w:val="clear" w:color="auto" w:fill="FFFFFF"/>
        </w:rPr>
        <w:t>, magari per potersi concedere più giorni di soggiorno in Toscana.</w:t>
      </w:r>
    </w:p>
    <w:p w14:paraId="0C0B6138" w14:textId="219FC9E0" w:rsidR="00CF13C8" w:rsidRDefault="00CF13C8"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lastRenderedPageBreak/>
        <w:t>In montagna il fatturato è previsto in discesa del 3,8% a fronte della diminuzione del 4,8% d</w:t>
      </w:r>
      <w:r w:rsidR="00A2691E">
        <w:rPr>
          <w:rFonts w:ascii="Calibri" w:hAnsi="Calibri"/>
          <w:sz w:val="22"/>
          <w:szCs w:val="22"/>
          <w:shd w:val="clear" w:color="auto" w:fill="FFFFFF"/>
        </w:rPr>
        <w:t xml:space="preserve">elle </w:t>
      </w:r>
      <w:r w:rsidR="00880E87">
        <w:rPr>
          <w:rFonts w:ascii="Calibri" w:hAnsi="Calibri"/>
          <w:sz w:val="22"/>
          <w:szCs w:val="22"/>
          <w:shd w:val="clear" w:color="auto" w:fill="FFFFFF"/>
        </w:rPr>
        <w:t>presenze di</w:t>
      </w:r>
      <w:r>
        <w:rPr>
          <w:rFonts w:ascii="Calibri" w:hAnsi="Calibri"/>
          <w:sz w:val="22"/>
          <w:szCs w:val="22"/>
          <w:shd w:val="clear" w:color="auto" w:fill="FFFFFF"/>
        </w:rPr>
        <w:t xml:space="preserve"> italiani e d</w:t>
      </w:r>
      <w:r w:rsidR="00880E87">
        <w:rPr>
          <w:rFonts w:ascii="Calibri" w:hAnsi="Calibri"/>
          <w:sz w:val="22"/>
          <w:szCs w:val="22"/>
          <w:shd w:val="clear" w:color="auto" w:fill="FFFFFF"/>
        </w:rPr>
        <w:t>ell'</w:t>
      </w:r>
      <w:r>
        <w:rPr>
          <w:rFonts w:ascii="Calibri" w:hAnsi="Calibri"/>
          <w:sz w:val="22"/>
          <w:szCs w:val="22"/>
          <w:shd w:val="clear" w:color="auto" w:fill="FFFFFF"/>
        </w:rPr>
        <w:t>1</w:t>
      </w:r>
      <w:r w:rsidR="00A2691E">
        <w:rPr>
          <w:rFonts w:ascii="Calibri" w:hAnsi="Calibri"/>
          <w:sz w:val="22"/>
          <w:szCs w:val="22"/>
          <w:shd w:val="clear" w:color="auto" w:fill="FFFFFF"/>
        </w:rPr>
        <w:t>,0</w:t>
      </w:r>
      <w:r>
        <w:rPr>
          <w:rFonts w:ascii="Calibri" w:hAnsi="Calibri"/>
          <w:sz w:val="22"/>
          <w:szCs w:val="22"/>
          <w:shd w:val="clear" w:color="auto" w:fill="FFFFFF"/>
        </w:rPr>
        <w:t>% di</w:t>
      </w:r>
      <w:r w:rsidR="00880E87">
        <w:rPr>
          <w:rFonts w:ascii="Calibri" w:hAnsi="Calibri"/>
          <w:sz w:val="22"/>
          <w:szCs w:val="22"/>
          <w:shd w:val="clear" w:color="auto" w:fill="FFFFFF"/>
        </w:rPr>
        <w:t xml:space="preserve"> quella degli</w:t>
      </w:r>
      <w:r>
        <w:rPr>
          <w:rFonts w:ascii="Calibri" w:hAnsi="Calibri"/>
          <w:sz w:val="22"/>
          <w:szCs w:val="22"/>
          <w:shd w:val="clear" w:color="auto" w:fill="FFFFFF"/>
        </w:rPr>
        <w:t xml:space="preserve"> stranieri. Nei territori di campagna-collina il fatturato è previsto pressoché stabile a fronte di un aumento del 3% degli stranieri. Nelle città d'arte i pernottamenti degli stranieri aumentano del 4</w:t>
      </w:r>
      <w:r w:rsidR="00880E87">
        <w:rPr>
          <w:rFonts w:ascii="Calibri" w:hAnsi="Calibri"/>
          <w:sz w:val="22"/>
          <w:szCs w:val="22"/>
          <w:shd w:val="clear" w:color="auto" w:fill="FFFFFF"/>
        </w:rPr>
        <w:t>,0</w:t>
      </w:r>
      <w:r>
        <w:rPr>
          <w:rFonts w:ascii="Calibri" w:hAnsi="Calibri"/>
          <w:sz w:val="22"/>
          <w:szCs w:val="22"/>
          <w:shd w:val="clear" w:color="auto" w:fill="FFFFFF"/>
        </w:rPr>
        <w:t>% e il fatturato del 2,5%. Nell'insieme delle aree della tipicità Toscana le presenze straniere aumentano del 4</w:t>
      </w:r>
      <w:r w:rsidR="00880E87">
        <w:rPr>
          <w:rFonts w:ascii="Calibri" w:hAnsi="Calibri"/>
          <w:sz w:val="22"/>
          <w:szCs w:val="22"/>
          <w:shd w:val="clear" w:color="auto" w:fill="FFFFFF"/>
        </w:rPr>
        <w:t>'0</w:t>
      </w:r>
      <w:r>
        <w:rPr>
          <w:rFonts w:ascii="Calibri" w:hAnsi="Calibri"/>
          <w:sz w:val="22"/>
          <w:szCs w:val="22"/>
          <w:shd w:val="clear" w:color="auto" w:fill="FFFFFF"/>
        </w:rPr>
        <w:t>% e il fatturato del 2,7%.</w:t>
      </w:r>
    </w:p>
    <w:p w14:paraId="12E3C322" w14:textId="4F24C73C" w:rsidR="006940C5" w:rsidRPr="00CF13C8" w:rsidRDefault="00CF13C8" w:rsidP="006E0627">
      <w:pPr>
        <w:shd w:val="clear" w:color="auto" w:fill="FFFFFF"/>
        <w:jc w:val="both"/>
        <w:rPr>
          <w:i/>
          <w:shd w:val="clear" w:color="auto" w:fill="FFFFFF"/>
        </w:rPr>
      </w:pPr>
      <w:r w:rsidRPr="004C195E">
        <w:rPr>
          <w:i/>
          <w:shd w:val="clear" w:color="auto" w:fill="FFFFFF"/>
        </w:rPr>
        <w:t xml:space="preserve">Fig. </w:t>
      </w:r>
      <w:r w:rsidRPr="004C195E">
        <w:rPr>
          <w:i/>
          <w:shd w:val="clear" w:color="auto" w:fill="FFFFFF"/>
        </w:rPr>
        <w:fldChar w:fldCharType="begin"/>
      </w:r>
      <w:r w:rsidRPr="004C195E">
        <w:rPr>
          <w:i/>
          <w:shd w:val="clear" w:color="auto" w:fill="FFFFFF"/>
        </w:rPr>
        <w:instrText xml:space="preserve"> SEQ Fig._ \* ARABIC </w:instrText>
      </w:r>
      <w:r w:rsidRPr="004C195E">
        <w:rPr>
          <w:i/>
          <w:shd w:val="clear" w:color="auto" w:fill="FFFFFF"/>
        </w:rPr>
        <w:fldChar w:fldCharType="separate"/>
      </w:r>
      <w:r>
        <w:rPr>
          <w:i/>
          <w:shd w:val="clear" w:color="auto" w:fill="FFFFFF"/>
        </w:rPr>
        <w:t>4</w:t>
      </w:r>
      <w:r w:rsidRPr="004C195E">
        <w:rPr>
          <w:i/>
          <w:shd w:val="clear" w:color="auto" w:fill="FFFFFF"/>
        </w:rPr>
        <w:fldChar w:fldCharType="end"/>
      </w:r>
      <w:r w:rsidRPr="004C195E">
        <w:rPr>
          <w:i/>
          <w:shd w:val="clear" w:color="auto" w:fill="FFFFFF"/>
        </w:rPr>
        <w:t xml:space="preserve">. </w:t>
      </w:r>
      <w:r w:rsidRPr="00CF13C8">
        <w:rPr>
          <w:i/>
          <w:shd w:val="clear" w:color="auto" w:fill="FFFFFF"/>
        </w:rPr>
        <w:t>V</w:t>
      </w:r>
      <w:r w:rsidR="006940C5" w:rsidRPr="00CF13C8">
        <w:rPr>
          <w:i/>
          <w:shd w:val="clear" w:color="auto" w:fill="FFFFFF"/>
        </w:rPr>
        <w:t xml:space="preserve">ariazione </w:t>
      </w:r>
      <w:r w:rsidR="00C92EDD" w:rsidRPr="00CF13C8">
        <w:rPr>
          <w:i/>
          <w:shd w:val="clear" w:color="auto" w:fill="FFFFFF"/>
        </w:rPr>
        <w:t xml:space="preserve">percentuale </w:t>
      </w:r>
      <w:r w:rsidR="006940C5" w:rsidRPr="00CF13C8">
        <w:rPr>
          <w:i/>
          <w:shd w:val="clear" w:color="auto" w:fill="FFFFFF"/>
        </w:rPr>
        <w:t xml:space="preserve">pernottamenti </w:t>
      </w:r>
      <w:r w:rsidRPr="00CF13C8">
        <w:rPr>
          <w:i/>
          <w:shd w:val="clear" w:color="auto" w:fill="FFFFFF"/>
        </w:rPr>
        <w:t xml:space="preserve">e fatturato per origine </w:t>
      </w:r>
      <w:r w:rsidR="006940C5" w:rsidRPr="00CF13C8">
        <w:rPr>
          <w:i/>
          <w:shd w:val="clear" w:color="auto" w:fill="FFFFFF"/>
        </w:rPr>
        <w:t>e risorsa prevalente. Anno 201</w:t>
      </w:r>
      <w:r w:rsidRPr="00CF13C8">
        <w:rPr>
          <w:i/>
          <w:shd w:val="clear" w:color="auto" w:fill="FFFFFF"/>
        </w:rPr>
        <w:t>7.</w:t>
      </w:r>
    </w:p>
    <w:p w14:paraId="6D076118" w14:textId="33A0C203" w:rsidR="00CF13C8" w:rsidRDefault="00CF13C8" w:rsidP="006E0627">
      <w:pPr>
        <w:shd w:val="clear" w:color="auto" w:fill="FFFFFF"/>
        <w:jc w:val="both"/>
        <w:rPr>
          <w:rFonts w:ascii="Calibri" w:hAnsi="Calibri"/>
          <w:i/>
          <w:sz w:val="22"/>
          <w:szCs w:val="22"/>
          <w:shd w:val="clear" w:color="auto" w:fill="FFFFFF"/>
        </w:rPr>
      </w:pPr>
      <w:r>
        <w:rPr>
          <w:rFonts w:ascii="Calibri" w:hAnsi="Calibri"/>
          <w:i/>
          <w:noProof/>
          <w:sz w:val="22"/>
          <w:szCs w:val="22"/>
          <w:shd w:val="clear" w:color="auto" w:fill="FFFFFF"/>
        </w:rPr>
        <w:drawing>
          <wp:inline distT="0" distB="0" distL="0" distR="0" wp14:anchorId="696A0F22" wp14:editId="5622B524">
            <wp:extent cx="4382770" cy="2670689"/>
            <wp:effectExtent l="0" t="0" r="11430" b="0"/>
            <wp:docPr id="11"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2770" cy="2670689"/>
                    </a:xfrm>
                    <a:prstGeom prst="rect">
                      <a:avLst/>
                    </a:prstGeom>
                    <a:noFill/>
                    <a:ln>
                      <a:noFill/>
                    </a:ln>
                  </pic:spPr>
                </pic:pic>
              </a:graphicData>
            </a:graphic>
          </wp:inline>
        </w:drawing>
      </w:r>
    </w:p>
    <w:p w14:paraId="46C1A4ED" w14:textId="5927B46B" w:rsidR="006940C5" w:rsidRPr="006940C5" w:rsidRDefault="006940C5" w:rsidP="006E0627">
      <w:pPr>
        <w:shd w:val="clear" w:color="auto" w:fill="FFFFFF"/>
        <w:jc w:val="center"/>
        <w:rPr>
          <w:rFonts w:ascii="Calibri" w:hAnsi="Calibri"/>
          <w:sz w:val="22"/>
          <w:szCs w:val="22"/>
          <w:shd w:val="clear" w:color="auto" w:fill="FFFFFF"/>
        </w:rPr>
      </w:pPr>
    </w:p>
    <w:p w14:paraId="0DE0ED12" w14:textId="77777777" w:rsidR="00126628" w:rsidRDefault="00126628" w:rsidP="006E0627">
      <w:pPr>
        <w:pStyle w:val="Titolo2"/>
        <w:spacing w:before="0"/>
        <w:rPr>
          <w:shd w:val="clear" w:color="auto" w:fill="FFFFFF"/>
        </w:rPr>
      </w:pPr>
      <w:bookmarkStart w:id="2" w:name="_Toc346891769"/>
      <w:r>
        <w:rPr>
          <w:shd w:val="clear" w:color="auto" w:fill="FFFFFF"/>
        </w:rPr>
        <w:t>Andamento per province e territori</w:t>
      </w:r>
      <w:bookmarkEnd w:id="2"/>
    </w:p>
    <w:p w14:paraId="639D191E" w14:textId="77777777" w:rsidR="00D710A9" w:rsidRDefault="007F72A9"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Le province m</w:t>
      </w:r>
      <w:r w:rsidR="006A2587">
        <w:rPr>
          <w:rFonts w:ascii="Calibri" w:hAnsi="Calibri"/>
          <w:sz w:val="22"/>
          <w:szCs w:val="22"/>
          <w:shd w:val="clear" w:color="auto" w:fill="FFFFFF"/>
        </w:rPr>
        <w:t xml:space="preserve">ostrano </w:t>
      </w:r>
      <w:r w:rsidR="00D710A9">
        <w:rPr>
          <w:rFonts w:ascii="Calibri" w:hAnsi="Calibri"/>
          <w:sz w:val="22"/>
          <w:szCs w:val="22"/>
          <w:shd w:val="clear" w:color="auto" w:fill="FFFFFF"/>
        </w:rPr>
        <w:t>previsioni poco omogenee ma tutte positive ad eccezione di Arezzo. A Lucca la palma della aspettativa migliore, guidata più dalle aree interne che non da quelle costiere.</w:t>
      </w:r>
    </w:p>
    <w:p w14:paraId="7C39F930" w14:textId="0040B0F6" w:rsidR="00D710A9" w:rsidRDefault="00D710A9"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Seguono Pisa (+4,5%), Firenze (+3,1%) e Siena (+2,8%), a segnalare il fattore di attrazione sempre più forte da parte di campeggi e villaggi turistici nel contesto delle città d'arte.</w:t>
      </w:r>
    </w:p>
    <w:p w14:paraId="2B05181C" w14:textId="05D14971" w:rsidR="0043116E" w:rsidRDefault="00213378" w:rsidP="006E0627">
      <w:pPr>
        <w:shd w:val="clear" w:color="auto" w:fill="FFFFFF"/>
        <w:jc w:val="both"/>
        <w:rPr>
          <w:rFonts w:ascii="Calibri" w:hAnsi="Calibri"/>
          <w:i/>
          <w:sz w:val="22"/>
          <w:szCs w:val="22"/>
          <w:shd w:val="clear" w:color="auto" w:fill="FFFFFF"/>
        </w:rPr>
      </w:pPr>
      <w:r w:rsidRPr="004C195E">
        <w:rPr>
          <w:i/>
          <w:shd w:val="clear" w:color="auto" w:fill="FFFFFF"/>
        </w:rPr>
        <w:t xml:space="preserve">Fig. </w:t>
      </w:r>
      <w:r w:rsidRPr="004C195E">
        <w:rPr>
          <w:i/>
          <w:shd w:val="clear" w:color="auto" w:fill="FFFFFF"/>
        </w:rPr>
        <w:fldChar w:fldCharType="begin"/>
      </w:r>
      <w:r w:rsidRPr="004C195E">
        <w:rPr>
          <w:i/>
          <w:shd w:val="clear" w:color="auto" w:fill="FFFFFF"/>
        </w:rPr>
        <w:instrText xml:space="preserve"> SEQ Fig._ \* ARABIC </w:instrText>
      </w:r>
      <w:r w:rsidRPr="004C195E">
        <w:rPr>
          <w:i/>
          <w:shd w:val="clear" w:color="auto" w:fill="FFFFFF"/>
        </w:rPr>
        <w:fldChar w:fldCharType="separate"/>
      </w:r>
      <w:r>
        <w:rPr>
          <w:i/>
          <w:noProof/>
          <w:shd w:val="clear" w:color="auto" w:fill="FFFFFF"/>
        </w:rPr>
        <w:t>5</w:t>
      </w:r>
      <w:r w:rsidRPr="004C195E">
        <w:rPr>
          <w:i/>
          <w:shd w:val="clear" w:color="auto" w:fill="FFFFFF"/>
        </w:rPr>
        <w:fldChar w:fldCharType="end"/>
      </w:r>
      <w:r w:rsidRPr="004C195E">
        <w:rPr>
          <w:i/>
          <w:shd w:val="clear" w:color="auto" w:fill="FFFFFF"/>
        </w:rPr>
        <w:t xml:space="preserve">. </w:t>
      </w:r>
      <w:r>
        <w:rPr>
          <w:rFonts w:ascii="Calibri" w:hAnsi="Calibri"/>
          <w:i/>
          <w:sz w:val="22"/>
          <w:szCs w:val="22"/>
          <w:shd w:val="clear" w:color="auto" w:fill="FFFFFF"/>
        </w:rPr>
        <w:t>V</w:t>
      </w:r>
      <w:r w:rsidR="0043116E" w:rsidRPr="00B82E2C">
        <w:rPr>
          <w:rFonts w:ascii="Calibri" w:hAnsi="Calibri"/>
          <w:i/>
          <w:sz w:val="22"/>
          <w:szCs w:val="22"/>
          <w:shd w:val="clear" w:color="auto" w:fill="FFFFFF"/>
        </w:rPr>
        <w:t>ariazione</w:t>
      </w:r>
      <w:r w:rsidR="00C92EDD">
        <w:rPr>
          <w:rFonts w:ascii="Calibri" w:hAnsi="Calibri"/>
          <w:i/>
          <w:sz w:val="22"/>
          <w:szCs w:val="22"/>
          <w:shd w:val="clear" w:color="auto" w:fill="FFFFFF"/>
        </w:rPr>
        <w:t xml:space="preserve"> percentuale</w:t>
      </w:r>
      <w:r w:rsidR="0043116E" w:rsidRPr="00B82E2C">
        <w:rPr>
          <w:rFonts w:ascii="Calibri" w:hAnsi="Calibri"/>
          <w:i/>
          <w:sz w:val="22"/>
          <w:szCs w:val="22"/>
          <w:shd w:val="clear" w:color="auto" w:fill="FFFFFF"/>
        </w:rPr>
        <w:t xml:space="preserve"> pernottamenti per origine </w:t>
      </w:r>
      <w:r w:rsidR="0043116E">
        <w:rPr>
          <w:rFonts w:ascii="Calibri" w:hAnsi="Calibri"/>
          <w:i/>
          <w:sz w:val="22"/>
          <w:szCs w:val="22"/>
          <w:shd w:val="clear" w:color="auto" w:fill="FFFFFF"/>
        </w:rPr>
        <w:t>e provincia</w:t>
      </w:r>
      <w:r w:rsidR="0043116E" w:rsidRPr="0021679B">
        <w:rPr>
          <w:rFonts w:ascii="Calibri" w:hAnsi="Calibri"/>
          <w:i/>
          <w:sz w:val="22"/>
          <w:szCs w:val="22"/>
          <w:shd w:val="clear" w:color="auto" w:fill="FFFFFF"/>
        </w:rPr>
        <w:t xml:space="preserve">. </w:t>
      </w:r>
      <w:r w:rsidR="0043116E">
        <w:rPr>
          <w:rFonts w:ascii="Calibri" w:hAnsi="Calibri"/>
          <w:i/>
          <w:sz w:val="22"/>
          <w:szCs w:val="22"/>
          <w:shd w:val="clear" w:color="auto" w:fill="FFFFFF"/>
        </w:rPr>
        <w:t>Anno</w:t>
      </w:r>
      <w:r>
        <w:rPr>
          <w:rFonts w:ascii="Calibri" w:hAnsi="Calibri"/>
          <w:i/>
          <w:sz w:val="22"/>
          <w:szCs w:val="22"/>
          <w:shd w:val="clear" w:color="auto" w:fill="FFFFFF"/>
        </w:rPr>
        <w:t xml:space="preserve"> 2017.</w:t>
      </w:r>
    </w:p>
    <w:p w14:paraId="0C8B253B" w14:textId="0F65B7AF" w:rsidR="00D710A9" w:rsidRDefault="00D710A9" w:rsidP="006E0627">
      <w:pPr>
        <w:shd w:val="clear" w:color="auto" w:fill="FFFFFF"/>
        <w:jc w:val="both"/>
        <w:rPr>
          <w:rFonts w:ascii="Calibri" w:hAnsi="Calibri"/>
          <w:i/>
          <w:sz w:val="22"/>
          <w:szCs w:val="22"/>
          <w:shd w:val="clear" w:color="auto" w:fill="FFFFFF"/>
        </w:rPr>
      </w:pPr>
      <w:r>
        <w:rPr>
          <w:rFonts w:ascii="Calibri" w:hAnsi="Calibri"/>
          <w:i/>
          <w:noProof/>
          <w:sz w:val="22"/>
          <w:szCs w:val="22"/>
          <w:shd w:val="clear" w:color="auto" w:fill="FFFFFF"/>
        </w:rPr>
        <w:lastRenderedPageBreak/>
        <w:drawing>
          <wp:inline distT="0" distB="0" distL="0" distR="0" wp14:anchorId="4C088DB6" wp14:editId="7D5C51F9">
            <wp:extent cx="4382770" cy="5696255"/>
            <wp:effectExtent l="0" t="0" r="1143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2770" cy="5696255"/>
                    </a:xfrm>
                    <a:prstGeom prst="rect">
                      <a:avLst/>
                    </a:prstGeom>
                    <a:noFill/>
                    <a:ln>
                      <a:noFill/>
                    </a:ln>
                  </pic:spPr>
                </pic:pic>
              </a:graphicData>
            </a:graphic>
          </wp:inline>
        </w:drawing>
      </w:r>
    </w:p>
    <w:p w14:paraId="2D435924" w14:textId="0A4957AB" w:rsidR="00225A1F" w:rsidRDefault="00225A1F"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Gli italiani sono previsti in aumento più degli stranieri a Massa Carrara (1,9% contro 1,6%). Omogenea la variazione prevista per italiani e stranieri nelle province di Grosseto, di Livorno e all'Isola d'Elba. Gli stranieri crescono più degli italiani a Lucca, Pisa, Firenze e Siena.</w:t>
      </w:r>
    </w:p>
    <w:p w14:paraId="6EAE7FDE" w14:textId="1D4466D2" w:rsidR="00283502" w:rsidRDefault="00BF2A79" w:rsidP="006E0627">
      <w:pPr>
        <w:shd w:val="clear" w:color="auto" w:fill="FFFFFF"/>
        <w:jc w:val="both"/>
        <w:rPr>
          <w:rFonts w:ascii="Calibri" w:hAnsi="Calibri"/>
          <w:i/>
          <w:sz w:val="22"/>
          <w:szCs w:val="22"/>
          <w:shd w:val="clear" w:color="auto" w:fill="FFFFFF"/>
        </w:rPr>
      </w:pPr>
      <w:r w:rsidRPr="004C195E">
        <w:rPr>
          <w:i/>
          <w:shd w:val="clear" w:color="auto" w:fill="FFFFFF"/>
        </w:rPr>
        <w:t xml:space="preserve">Fig. </w:t>
      </w:r>
      <w:r w:rsidRPr="004C195E">
        <w:rPr>
          <w:i/>
          <w:shd w:val="clear" w:color="auto" w:fill="FFFFFF"/>
        </w:rPr>
        <w:fldChar w:fldCharType="begin"/>
      </w:r>
      <w:r w:rsidRPr="004C195E">
        <w:rPr>
          <w:i/>
          <w:shd w:val="clear" w:color="auto" w:fill="FFFFFF"/>
        </w:rPr>
        <w:instrText xml:space="preserve"> SEQ Fig._ \* ARABIC </w:instrText>
      </w:r>
      <w:r w:rsidRPr="004C195E">
        <w:rPr>
          <w:i/>
          <w:shd w:val="clear" w:color="auto" w:fill="FFFFFF"/>
        </w:rPr>
        <w:fldChar w:fldCharType="separate"/>
      </w:r>
      <w:r>
        <w:rPr>
          <w:i/>
          <w:noProof/>
          <w:shd w:val="clear" w:color="auto" w:fill="FFFFFF"/>
        </w:rPr>
        <w:t>6</w:t>
      </w:r>
      <w:r w:rsidRPr="004C195E">
        <w:rPr>
          <w:i/>
          <w:shd w:val="clear" w:color="auto" w:fill="FFFFFF"/>
        </w:rPr>
        <w:fldChar w:fldCharType="end"/>
      </w:r>
      <w:r w:rsidRPr="004C195E">
        <w:rPr>
          <w:i/>
          <w:shd w:val="clear" w:color="auto" w:fill="FFFFFF"/>
        </w:rPr>
        <w:t xml:space="preserve">. </w:t>
      </w:r>
      <w:r w:rsidR="001A06B0">
        <w:rPr>
          <w:rFonts w:ascii="Calibri" w:hAnsi="Calibri"/>
          <w:i/>
          <w:sz w:val="22"/>
          <w:szCs w:val="22"/>
          <w:shd w:val="clear" w:color="auto" w:fill="FFFFFF"/>
        </w:rPr>
        <w:t>I</w:t>
      </w:r>
      <w:r w:rsidR="00283502">
        <w:rPr>
          <w:rFonts w:ascii="Calibri" w:hAnsi="Calibri"/>
          <w:i/>
          <w:sz w:val="22"/>
          <w:szCs w:val="22"/>
          <w:shd w:val="clear" w:color="auto" w:fill="FFFFFF"/>
        </w:rPr>
        <w:t>ncidenza dei flussi per origine provincia. Anno</w:t>
      </w:r>
      <w:r w:rsidR="001A06B0">
        <w:rPr>
          <w:rFonts w:ascii="Calibri" w:hAnsi="Calibri"/>
          <w:i/>
          <w:sz w:val="22"/>
          <w:szCs w:val="22"/>
          <w:shd w:val="clear" w:color="auto" w:fill="FFFFFF"/>
        </w:rPr>
        <w:t xml:space="preserve"> 2017</w:t>
      </w:r>
    </w:p>
    <w:p w14:paraId="376C4F5A" w14:textId="4730696E" w:rsidR="00283502" w:rsidRDefault="001A06B0" w:rsidP="006E0627">
      <w:pPr>
        <w:shd w:val="clear" w:color="auto" w:fill="FFFFFF"/>
        <w:jc w:val="both"/>
        <w:rPr>
          <w:rFonts w:ascii="Calibri" w:hAnsi="Calibri"/>
          <w:sz w:val="22"/>
          <w:szCs w:val="22"/>
          <w:shd w:val="clear" w:color="auto" w:fill="FFFFFF"/>
        </w:rPr>
      </w:pPr>
      <w:r>
        <w:rPr>
          <w:rFonts w:ascii="Calibri" w:hAnsi="Calibri"/>
          <w:noProof/>
          <w:sz w:val="22"/>
          <w:szCs w:val="22"/>
          <w:shd w:val="clear" w:color="auto" w:fill="FFFFFF"/>
        </w:rPr>
        <w:lastRenderedPageBreak/>
        <w:drawing>
          <wp:inline distT="0" distB="0" distL="0" distR="0" wp14:anchorId="285B6203" wp14:editId="5197417E">
            <wp:extent cx="4382770" cy="2670689"/>
            <wp:effectExtent l="0" t="0" r="1143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2770" cy="2670689"/>
                    </a:xfrm>
                    <a:prstGeom prst="rect">
                      <a:avLst/>
                    </a:prstGeom>
                    <a:noFill/>
                    <a:ln>
                      <a:noFill/>
                    </a:ln>
                  </pic:spPr>
                </pic:pic>
              </a:graphicData>
            </a:graphic>
          </wp:inline>
        </w:drawing>
      </w:r>
    </w:p>
    <w:p w14:paraId="512CF228" w14:textId="3CA14831" w:rsidR="006B68B1" w:rsidRDefault="00283502"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Nelle provi</w:t>
      </w:r>
      <w:r w:rsidR="001A06B0">
        <w:rPr>
          <w:rFonts w:ascii="Calibri" w:hAnsi="Calibri"/>
          <w:sz w:val="22"/>
          <w:szCs w:val="22"/>
          <w:shd w:val="clear" w:color="auto" w:fill="FFFFFF"/>
        </w:rPr>
        <w:t xml:space="preserve">nce dell'interno della regione è prevista </w:t>
      </w:r>
      <w:r>
        <w:rPr>
          <w:rFonts w:ascii="Calibri" w:hAnsi="Calibri"/>
          <w:sz w:val="22"/>
          <w:szCs w:val="22"/>
          <w:shd w:val="clear" w:color="auto" w:fill="FFFFFF"/>
        </w:rPr>
        <w:t>la</w:t>
      </w:r>
      <w:r w:rsidR="006B68B1">
        <w:rPr>
          <w:rFonts w:ascii="Calibri" w:hAnsi="Calibri"/>
          <w:sz w:val="22"/>
          <w:szCs w:val="22"/>
          <w:shd w:val="clear" w:color="auto" w:fill="FFFFFF"/>
        </w:rPr>
        <w:t xml:space="preserve"> percentuale più alta di pernottamenti di stranieri, con</w:t>
      </w:r>
      <w:r>
        <w:rPr>
          <w:rFonts w:ascii="Calibri" w:hAnsi="Calibri"/>
          <w:sz w:val="22"/>
          <w:szCs w:val="22"/>
          <w:shd w:val="clear" w:color="auto" w:fill="FFFFFF"/>
        </w:rPr>
        <w:t xml:space="preserve"> quot</w:t>
      </w:r>
      <w:r w:rsidR="006B68B1">
        <w:rPr>
          <w:rFonts w:ascii="Calibri" w:hAnsi="Calibri"/>
          <w:sz w:val="22"/>
          <w:szCs w:val="22"/>
          <w:shd w:val="clear" w:color="auto" w:fill="FFFFFF"/>
        </w:rPr>
        <w:t>e</w:t>
      </w:r>
      <w:r>
        <w:rPr>
          <w:rFonts w:ascii="Calibri" w:hAnsi="Calibri"/>
          <w:sz w:val="22"/>
          <w:szCs w:val="22"/>
          <w:shd w:val="clear" w:color="auto" w:fill="FFFFFF"/>
        </w:rPr>
        <w:t xml:space="preserve"> </w:t>
      </w:r>
      <w:r w:rsidR="006B68B1">
        <w:rPr>
          <w:rFonts w:ascii="Calibri" w:hAnsi="Calibri"/>
          <w:sz w:val="22"/>
          <w:szCs w:val="22"/>
          <w:shd w:val="clear" w:color="auto" w:fill="FFFFFF"/>
        </w:rPr>
        <w:t>che superano</w:t>
      </w:r>
      <w:r>
        <w:rPr>
          <w:rFonts w:ascii="Calibri" w:hAnsi="Calibri"/>
          <w:sz w:val="22"/>
          <w:szCs w:val="22"/>
          <w:shd w:val="clear" w:color="auto" w:fill="FFFFFF"/>
        </w:rPr>
        <w:t xml:space="preserve"> il 50%. </w:t>
      </w:r>
      <w:r w:rsidR="0084273F">
        <w:rPr>
          <w:rFonts w:ascii="Calibri" w:hAnsi="Calibri"/>
          <w:sz w:val="22"/>
          <w:szCs w:val="22"/>
          <w:shd w:val="clear" w:color="auto" w:fill="FFFFFF"/>
        </w:rPr>
        <w:t>Il m</w:t>
      </w:r>
      <w:r>
        <w:rPr>
          <w:rFonts w:ascii="Calibri" w:hAnsi="Calibri"/>
          <w:sz w:val="22"/>
          <w:szCs w:val="22"/>
          <w:shd w:val="clear" w:color="auto" w:fill="FFFFFF"/>
        </w:rPr>
        <w:t xml:space="preserve">assimo a </w:t>
      </w:r>
      <w:r w:rsidR="001A06B0">
        <w:rPr>
          <w:rFonts w:ascii="Calibri" w:hAnsi="Calibri"/>
          <w:sz w:val="22"/>
          <w:szCs w:val="22"/>
          <w:shd w:val="clear" w:color="auto" w:fill="FFFFFF"/>
        </w:rPr>
        <w:t>Firenze</w:t>
      </w:r>
      <w:r w:rsidR="0084273F">
        <w:rPr>
          <w:rFonts w:ascii="Calibri" w:hAnsi="Calibri"/>
          <w:sz w:val="22"/>
          <w:szCs w:val="22"/>
          <w:shd w:val="clear" w:color="auto" w:fill="FFFFFF"/>
        </w:rPr>
        <w:t xml:space="preserve"> dove viene dichiarata una </w:t>
      </w:r>
      <w:r w:rsidR="006B68B1">
        <w:rPr>
          <w:rFonts w:ascii="Calibri" w:hAnsi="Calibri"/>
          <w:sz w:val="22"/>
          <w:szCs w:val="22"/>
          <w:shd w:val="clear" w:color="auto" w:fill="FFFFFF"/>
        </w:rPr>
        <w:t>incidenza</w:t>
      </w:r>
      <w:r w:rsidR="0084273F">
        <w:rPr>
          <w:rFonts w:ascii="Calibri" w:hAnsi="Calibri"/>
          <w:sz w:val="22"/>
          <w:szCs w:val="22"/>
          <w:shd w:val="clear" w:color="auto" w:fill="FFFFFF"/>
        </w:rPr>
        <w:t xml:space="preserve"> del</w:t>
      </w:r>
      <w:r w:rsidR="001A06B0">
        <w:rPr>
          <w:rFonts w:ascii="Calibri" w:hAnsi="Calibri"/>
          <w:sz w:val="22"/>
          <w:szCs w:val="22"/>
          <w:shd w:val="clear" w:color="auto" w:fill="FFFFFF"/>
        </w:rPr>
        <w:t>l'</w:t>
      </w:r>
      <w:r w:rsidR="0084273F">
        <w:rPr>
          <w:rFonts w:ascii="Calibri" w:hAnsi="Calibri"/>
          <w:sz w:val="22"/>
          <w:szCs w:val="22"/>
          <w:shd w:val="clear" w:color="auto" w:fill="FFFFFF"/>
        </w:rPr>
        <w:t xml:space="preserve"> </w:t>
      </w:r>
      <w:r w:rsidR="001A06B0">
        <w:rPr>
          <w:rFonts w:ascii="Calibri" w:hAnsi="Calibri"/>
          <w:sz w:val="22"/>
          <w:szCs w:val="22"/>
          <w:shd w:val="clear" w:color="auto" w:fill="FFFFFF"/>
        </w:rPr>
        <w:t>84</w:t>
      </w:r>
      <w:r w:rsidR="0084273F">
        <w:rPr>
          <w:rFonts w:ascii="Calibri" w:hAnsi="Calibri"/>
          <w:sz w:val="22"/>
          <w:szCs w:val="22"/>
          <w:shd w:val="clear" w:color="auto" w:fill="FFFFFF"/>
        </w:rPr>
        <w:t xml:space="preserve">%, </w:t>
      </w:r>
      <w:r w:rsidR="006B68B1">
        <w:rPr>
          <w:rFonts w:ascii="Calibri" w:hAnsi="Calibri"/>
          <w:sz w:val="22"/>
          <w:szCs w:val="22"/>
          <w:shd w:val="clear" w:color="auto" w:fill="FFFFFF"/>
        </w:rPr>
        <w:t xml:space="preserve">seguita da </w:t>
      </w:r>
      <w:r w:rsidR="001A06B0">
        <w:rPr>
          <w:rFonts w:ascii="Calibri" w:hAnsi="Calibri"/>
          <w:sz w:val="22"/>
          <w:szCs w:val="22"/>
          <w:shd w:val="clear" w:color="auto" w:fill="FFFFFF"/>
        </w:rPr>
        <w:t>Pisa con 83%, Siena 79</w:t>
      </w:r>
      <w:r w:rsidR="006B68B1">
        <w:rPr>
          <w:rFonts w:ascii="Calibri" w:hAnsi="Calibri"/>
          <w:sz w:val="22"/>
          <w:szCs w:val="22"/>
          <w:shd w:val="clear" w:color="auto" w:fill="FFFFFF"/>
        </w:rPr>
        <w:t>%. Lungo le province costiere il dato è altalenante: a Livorno vi è una suddivisione pressoché uguale tra italiani e stranieri, mentre a Grosseto gli italiani si intestano tre quarti dei pernottamenti</w:t>
      </w:r>
      <w:r w:rsidR="001A06B0">
        <w:rPr>
          <w:rFonts w:ascii="Calibri" w:hAnsi="Calibri"/>
          <w:sz w:val="22"/>
          <w:szCs w:val="22"/>
          <w:shd w:val="clear" w:color="auto" w:fill="FFFFFF"/>
        </w:rPr>
        <w:t xml:space="preserve"> e a Massa Carrara il 55%</w:t>
      </w:r>
      <w:r w:rsidR="006B68B1">
        <w:rPr>
          <w:rFonts w:ascii="Calibri" w:hAnsi="Calibri"/>
          <w:sz w:val="22"/>
          <w:szCs w:val="22"/>
          <w:shd w:val="clear" w:color="auto" w:fill="FFFFFF"/>
        </w:rPr>
        <w:t xml:space="preserve">. Anche all'Elba prevalgono </w:t>
      </w:r>
      <w:r w:rsidR="00880E87">
        <w:rPr>
          <w:rFonts w:ascii="Calibri" w:hAnsi="Calibri"/>
          <w:sz w:val="22"/>
          <w:szCs w:val="22"/>
          <w:shd w:val="clear" w:color="auto" w:fill="FFFFFF"/>
        </w:rPr>
        <w:t>i pernottamenti de</w:t>
      </w:r>
      <w:r w:rsidR="006B68B1">
        <w:rPr>
          <w:rFonts w:ascii="Calibri" w:hAnsi="Calibri"/>
          <w:sz w:val="22"/>
          <w:szCs w:val="22"/>
          <w:shd w:val="clear" w:color="auto" w:fill="FFFFFF"/>
        </w:rPr>
        <w:t xml:space="preserve">gli italiani, </w:t>
      </w:r>
      <w:r w:rsidR="00880E87">
        <w:rPr>
          <w:rFonts w:ascii="Calibri" w:hAnsi="Calibri"/>
          <w:sz w:val="22"/>
          <w:szCs w:val="22"/>
          <w:shd w:val="clear" w:color="auto" w:fill="FFFFFF"/>
        </w:rPr>
        <w:t xml:space="preserve">con un peso totale del </w:t>
      </w:r>
      <w:r w:rsidR="001A06B0">
        <w:rPr>
          <w:rFonts w:ascii="Calibri" w:hAnsi="Calibri"/>
          <w:sz w:val="22"/>
          <w:szCs w:val="22"/>
          <w:shd w:val="clear" w:color="auto" w:fill="FFFFFF"/>
        </w:rPr>
        <w:t>55</w:t>
      </w:r>
      <w:r w:rsidR="006B68B1">
        <w:rPr>
          <w:rFonts w:ascii="Calibri" w:hAnsi="Calibri"/>
          <w:sz w:val="22"/>
          <w:szCs w:val="22"/>
          <w:shd w:val="clear" w:color="auto" w:fill="FFFFFF"/>
        </w:rPr>
        <w:t>%.</w:t>
      </w:r>
    </w:p>
    <w:p w14:paraId="65EAA095" w14:textId="0143BA3D" w:rsidR="007C58AF" w:rsidRDefault="0050580E"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 xml:space="preserve">Anche nella analisi per province il confronto tra variazione </w:t>
      </w:r>
      <w:r w:rsidR="007C58AF">
        <w:rPr>
          <w:rFonts w:ascii="Calibri" w:hAnsi="Calibri"/>
          <w:sz w:val="22"/>
          <w:szCs w:val="22"/>
          <w:shd w:val="clear" w:color="auto" w:fill="FFFFFF"/>
        </w:rPr>
        <w:t xml:space="preserve">previste </w:t>
      </w:r>
      <w:r w:rsidR="00BF2A79">
        <w:rPr>
          <w:rFonts w:ascii="Calibri" w:hAnsi="Calibri"/>
          <w:sz w:val="22"/>
          <w:szCs w:val="22"/>
          <w:shd w:val="clear" w:color="auto" w:fill="FFFFFF"/>
        </w:rPr>
        <w:t>n</w:t>
      </w:r>
      <w:r>
        <w:rPr>
          <w:rFonts w:ascii="Calibri" w:hAnsi="Calibri"/>
          <w:sz w:val="22"/>
          <w:szCs w:val="22"/>
          <w:shd w:val="clear" w:color="auto" w:fill="FFFFFF"/>
        </w:rPr>
        <w:t xml:space="preserve">ei pernottamenti e variazione </w:t>
      </w:r>
      <w:r w:rsidR="007C58AF">
        <w:rPr>
          <w:rFonts w:ascii="Calibri" w:hAnsi="Calibri"/>
          <w:sz w:val="22"/>
          <w:szCs w:val="22"/>
          <w:shd w:val="clear" w:color="auto" w:fill="FFFFFF"/>
        </w:rPr>
        <w:t xml:space="preserve">prevista </w:t>
      </w:r>
      <w:r w:rsidR="00BF2A79">
        <w:rPr>
          <w:rFonts w:ascii="Calibri" w:hAnsi="Calibri"/>
          <w:sz w:val="22"/>
          <w:szCs w:val="22"/>
          <w:shd w:val="clear" w:color="auto" w:fill="FFFFFF"/>
        </w:rPr>
        <w:t>n</w:t>
      </w:r>
      <w:r>
        <w:rPr>
          <w:rFonts w:ascii="Calibri" w:hAnsi="Calibri"/>
          <w:sz w:val="22"/>
          <w:szCs w:val="22"/>
          <w:shd w:val="clear" w:color="auto" w:fill="FFFFFF"/>
        </w:rPr>
        <w:t>el fatturato mostra</w:t>
      </w:r>
      <w:r w:rsidR="007C58AF">
        <w:rPr>
          <w:rFonts w:ascii="Calibri" w:hAnsi="Calibri"/>
          <w:sz w:val="22"/>
          <w:szCs w:val="22"/>
          <w:shd w:val="clear" w:color="auto" w:fill="FFFFFF"/>
        </w:rPr>
        <w:t xml:space="preserve"> un prevalere delle prime sul secondo, con massimi a Lucca</w:t>
      </w:r>
      <w:r w:rsidR="00BF2A79">
        <w:rPr>
          <w:rFonts w:ascii="Calibri" w:hAnsi="Calibri"/>
          <w:sz w:val="22"/>
          <w:szCs w:val="22"/>
          <w:shd w:val="clear" w:color="auto" w:fill="FFFFFF"/>
        </w:rPr>
        <w:t xml:space="preserve">, dove la differenza è di 6,5 punti percentuali, e minimi ad Arezzo, Isola d'Elba e Firenze, tutti sotto a 0,2 punti percentuali. </w:t>
      </w:r>
    </w:p>
    <w:p w14:paraId="4FDB166F" w14:textId="77777777" w:rsidR="00594A95" w:rsidRDefault="00594A95" w:rsidP="006E0627">
      <w:pPr>
        <w:pStyle w:val="Titolo2"/>
        <w:spacing w:before="0"/>
        <w:rPr>
          <w:shd w:val="clear" w:color="auto" w:fill="FFFFFF"/>
        </w:rPr>
      </w:pPr>
      <w:bookmarkStart w:id="3" w:name="_Toc346891770"/>
      <w:r>
        <w:rPr>
          <w:shd w:val="clear" w:color="auto" w:fill="FFFFFF"/>
        </w:rPr>
        <w:t>Le attrezzature</w:t>
      </w:r>
      <w:bookmarkEnd w:id="3"/>
      <w:r>
        <w:rPr>
          <w:shd w:val="clear" w:color="auto" w:fill="FFFFFF"/>
        </w:rPr>
        <w:t xml:space="preserve"> </w:t>
      </w:r>
    </w:p>
    <w:p w14:paraId="7B60BCE3" w14:textId="3232AD93" w:rsidR="003A4FCC" w:rsidRDefault="006F3F98" w:rsidP="006E0627">
      <w:pPr>
        <w:shd w:val="clear" w:color="auto" w:fill="FFFFFF"/>
        <w:jc w:val="both"/>
        <w:rPr>
          <w:rFonts w:ascii="Calibri" w:hAnsi="Calibri"/>
          <w:sz w:val="22"/>
          <w:szCs w:val="22"/>
          <w:shd w:val="clear" w:color="auto" w:fill="FFFFFF"/>
        </w:rPr>
      </w:pPr>
      <w:r w:rsidRPr="006F3F98">
        <w:rPr>
          <w:rFonts w:ascii="Calibri" w:hAnsi="Calibri"/>
          <w:sz w:val="22"/>
          <w:szCs w:val="22"/>
          <w:shd w:val="clear" w:color="auto" w:fill="FFFFFF"/>
        </w:rPr>
        <w:t xml:space="preserve">Per quanto riguarda la tipologia di attrezzature </w:t>
      </w:r>
      <w:r w:rsidR="00F2344E">
        <w:rPr>
          <w:rFonts w:ascii="Calibri" w:hAnsi="Calibri"/>
          <w:sz w:val="22"/>
          <w:szCs w:val="22"/>
          <w:shd w:val="clear" w:color="auto" w:fill="FFFFFF"/>
        </w:rPr>
        <w:t xml:space="preserve">che saranno utilizzate </w:t>
      </w:r>
      <w:r w:rsidR="003A4FCC">
        <w:rPr>
          <w:rFonts w:ascii="Calibri" w:hAnsi="Calibri"/>
          <w:sz w:val="22"/>
          <w:szCs w:val="22"/>
          <w:shd w:val="clear" w:color="auto" w:fill="FFFFFF"/>
        </w:rPr>
        <w:t>nell'estate 2017</w:t>
      </w:r>
      <w:r w:rsidRPr="006F3F98">
        <w:rPr>
          <w:rFonts w:ascii="Calibri" w:hAnsi="Calibri"/>
          <w:sz w:val="22"/>
          <w:szCs w:val="22"/>
          <w:shd w:val="clear" w:color="auto" w:fill="FFFFFF"/>
        </w:rPr>
        <w:t xml:space="preserve">, </w:t>
      </w:r>
      <w:r w:rsidR="003A4FCC">
        <w:rPr>
          <w:rFonts w:ascii="Calibri" w:hAnsi="Calibri"/>
          <w:sz w:val="22"/>
          <w:szCs w:val="22"/>
          <w:shd w:val="clear" w:color="auto" w:fill="FFFFFF"/>
        </w:rPr>
        <w:t>la maggioranza del</w:t>
      </w:r>
      <w:r w:rsidR="00880E87">
        <w:rPr>
          <w:rFonts w:ascii="Calibri" w:hAnsi="Calibri"/>
          <w:sz w:val="22"/>
          <w:szCs w:val="22"/>
          <w:shd w:val="clear" w:color="auto" w:fill="FFFFFF"/>
        </w:rPr>
        <w:t>le imprese intervistate indica</w:t>
      </w:r>
      <w:r w:rsidR="003A4FCC">
        <w:rPr>
          <w:rFonts w:ascii="Calibri" w:hAnsi="Calibri"/>
          <w:sz w:val="22"/>
          <w:szCs w:val="22"/>
          <w:shd w:val="clear" w:color="auto" w:fill="FFFFFF"/>
        </w:rPr>
        <w:t xml:space="preserve"> un andamento buono per case mobili e camper. Discreta l'aspettativ</w:t>
      </w:r>
      <w:r w:rsidR="00A36E58">
        <w:rPr>
          <w:rFonts w:ascii="Calibri" w:hAnsi="Calibri"/>
          <w:sz w:val="22"/>
          <w:szCs w:val="22"/>
          <w:shd w:val="clear" w:color="auto" w:fill="FFFFFF"/>
        </w:rPr>
        <w:t>a per bungalow e caravan. Non vi</w:t>
      </w:r>
      <w:r w:rsidR="003A4FCC">
        <w:rPr>
          <w:rFonts w:ascii="Calibri" w:hAnsi="Calibri"/>
          <w:sz w:val="22"/>
          <w:szCs w:val="22"/>
          <w:shd w:val="clear" w:color="auto" w:fill="FFFFFF"/>
        </w:rPr>
        <w:t xml:space="preserve"> sono aspettative particolarmente positive o negative</w:t>
      </w:r>
      <w:r w:rsidR="00880E87">
        <w:rPr>
          <w:rFonts w:ascii="Calibri" w:hAnsi="Calibri"/>
          <w:sz w:val="22"/>
          <w:szCs w:val="22"/>
          <w:shd w:val="clear" w:color="auto" w:fill="FFFFFF"/>
        </w:rPr>
        <w:t xml:space="preserve"> </w:t>
      </w:r>
      <w:r w:rsidR="003A4FCC">
        <w:rPr>
          <w:rFonts w:ascii="Calibri" w:hAnsi="Calibri"/>
          <w:sz w:val="22"/>
          <w:szCs w:val="22"/>
          <w:shd w:val="clear" w:color="auto" w:fill="FFFFFF"/>
        </w:rPr>
        <w:t>per le tende.</w:t>
      </w:r>
    </w:p>
    <w:p w14:paraId="027C1AA0" w14:textId="25D675B4" w:rsidR="008917AD" w:rsidRDefault="00A36E58"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Passando ad approfondire la situazione per ogni singola caratterizzazione territoriale, le attrezzature di proprietà delle strutture, in particolare case mobili e bungalow, sono segnalate con un andamento migliore</w:t>
      </w:r>
      <w:r w:rsidR="00880E87">
        <w:rPr>
          <w:rFonts w:ascii="Calibri" w:hAnsi="Calibri"/>
          <w:sz w:val="22"/>
          <w:szCs w:val="22"/>
          <w:shd w:val="clear" w:color="auto" w:fill="FFFFFF"/>
        </w:rPr>
        <w:t>,</w:t>
      </w:r>
      <w:r>
        <w:rPr>
          <w:rFonts w:ascii="Calibri" w:hAnsi="Calibri"/>
          <w:sz w:val="22"/>
          <w:szCs w:val="22"/>
          <w:shd w:val="clear" w:color="auto" w:fill="FFFFFF"/>
        </w:rPr>
        <w:t xml:space="preserve"> più nell'ambito delle risorse arte e affari e della tipicità toscana che in altre. </w:t>
      </w:r>
      <w:r w:rsidR="00880E87">
        <w:rPr>
          <w:rFonts w:ascii="Calibri" w:hAnsi="Calibri"/>
          <w:sz w:val="22"/>
          <w:szCs w:val="22"/>
          <w:shd w:val="clear" w:color="auto" w:fill="FFFFFF"/>
        </w:rPr>
        <w:lastRenderedPageBreak/>
        <w:t>Nell</w:t>
      </w:r>
      <w:r>
        <w:rPr>
          <w:rFonts w:ascii="Calibri" w:hAnsi="Calibri"/>
          <w:sz w:val="22"/>
          <w:szCs w:val="22"/>
          <w:shd w:val="clear" w:color="auto" w:fill="FFFFFF"/>
        </w:rPr>
        <w:t>'ambito balneare invece</w:t>
      </w:r>
      <w:r w:rsidR="00880E87">
        <w:rPr>
          <w:rFonts w:ascii="Calibri" w:hAnsi="Calibri"/>
          <w:sz w:val="22"/>
          <w:szCs w:val="22"/>
          <w:shd w:val="clear" w:color="auto" w:fill="FFFFFF"/>
        </w:rPr>
        <w:t xml:space="preserve"> sono</w:t>
      </w:r>
      <w:r>
        <w:rPr>
          <w:rFonts w:ascii="Calibri" w:hAnsi="Calibri"/>
          <w:sz w:val="22"/>
          <w:szCs w:val="22"/>
          <w:shd w:val="clear" w:color="auto" w:fill="FFFFFF"/>
        </w:rPr>
        <w:t xml:space="preserve"> dichiara</w:t>
      </w:r>
      <w:r w:rsidR="00880E87">
        <w:rPr>
          <w:rFonts w:ascii="Calibri" w:hAnsi="Calibri"/>
          <w:sz w:val="22"/>
          <w:szCs w:val="22"/>
          <w:shd w:val="clear" w:color="auto" w:fill="FFFFFF"/>
        </w:rPr>
        <w:t>te</w:t>
      </w:r>
      <w:r>
        <w:rPr>
          <w:rFonts w:ascii="Calibri" w:hAnsi="Calibri"/>
          <w:sz w:val="22"/>
          <w:szCs w:val="22"/>
          <w:shd w:val="clear" w:color="auto" w:fill="FFFFFF"/>
        </w:rPr>
        <w:t xml:space="preserve"> aspettative </w:t>
      </w:r>
      <w:r w:rsidR="00880E87">
        <w:rPr>
          <w:rFonts w:ascii="Calibri" w:hAnsi="Calibri"/>
          <w:sz w:val="22"/>
          <w:szCs w:val="22"/>
          <w:shd w:val="clear" w:color="auto" w:fill="FFFFFF"/>
        </w:rPr>
        <w:t>uguali</w:t>
      </w:r>
      <w:r>
        <w:rPr>
          <w:rFonts w:ascii="Calibri" w:hAnsi="Calibri"/>
          <w:sz w:val="22"/>
          <w:szCs w:val="22"/>
          <w:shd w:val="clear" w:color="auto" w:fill="FFFFFF"/>
        </w:rPr>
        <w:t xml:space="preserve"> per tutti i tipi di attrezzatura, anche quelle di proprietà del cliente e, in particolare, il camper. Stabili le tende su tutti i fronti.</w:t>
      </w:r>
    </w:p>
    <w:p w14:paraId="6B87203D" w14:textId="5840282B" w:rsidR="007108BA" w:rsidRPr="00797B5F" w:rsidRDefault="00A36E58" w:rsidP="006E0627">
      <w:pPr>
        <w:shd w:val="clear" w:color="auto" w:fill="FFFFFF"/>
        <w:jc w:val="both"/>
        <w:rPr>
          <w:rFonts w:ascii="Calibri" w:hAnsi="Calibri"/>
          <w:i/>
          <w:sz w:val="22"/>
          <w:szCs w:val="22"/>
          <w:shd w:val="clear" w:color="auto" w:fill="FFFFFF"/>
        </w:rPr>
      </w:pPr>
      <w:r w:rsidRPr="004C195E">
        <w:rPr>
          <w:i/>
          <w:shd w:val="clear" w:color="auto" w:fill="FFFFFF"/>
        </w:rPr>
        <w:t xml:space="preserve">Fig. </w:t>
      </w:r>
      <w:r w:rsidRPr="004C195E">
        <w:rPr>
          <w:i/>
          <w:shd w:val="clear" w:color="auto" w:fill="FFFFFF"/>
        </w:rPr>
        <w:fldChar w:fldCharType="begin"/>
      </w:r>
      <w:r w:rsidRPr="004C195E">
        <w:rPr>
          <w:i/>
          <w:shd w:val="clear" w:color="auto" w:fill="FFFFFF"/>
        </w:rPr>
        <w:instrText xml:space="preserve"> SEQ Fig._ \* ARABIC </w:instrText>
      </w:r>
      <w:r w:rsidRPr="004C195E">
        <w:rPr>
          <w:i/>
          <w:shd w:val="clear" w:color="auto" w:fill="FFFFFF"/>
        </w:rPr>
        <w:fldChar w:fldCharType="separate"/>
      </w:r>
      <w:r>
        <w:rPr>
          <w:i/>
          <w:noProof/>
          <w:shd w:val="clear" w:color="auto" w:fill="FFFFFF"/>
        </w:rPr>
        <w:t>7</w:t>
      </w:r>
      <w:r w:rsidRPr="004C195E">
        <w:rPr>
          <w:i/>
          <w:shd w:val="clear" w:color="auto" w:fill="FFFFFF"/>
        </w:rPr>
        <w:fldChar w:fldCharType="end"/>
      </w:r>
      <w:r w:rsidRPr="004C195E">
        <w:rPr>
          <w:i/>
          <w:shd w:val="clear" w:color="auto" w:fill="FFFFFF"/>
        </w:rPr>
        <w:t xml:space="preserve">. </w:t>
      </w:r>
      <w:r w:rsidR="003A5C81">
        <w:rPr>
          <w:rFonts w:ascii="Calibri" w:hAnsi="Calibri"/>
          <w:i/>
          <w:sz w:val="22"/>
          <w:szCs w:val="22"/>
          <w:shd w:val="clear" w:color="auto" w:fill="FFFFFF"/>
        </w:rPr>
        <w:t>V</w:t>
      </w:r>
      <w:r w:rsidR="00797B5F">
        <w:rPr>
          <w:rFonts w:ascii="Calibri" w:hAnsi="Calibri"/>
          <w:i/>
          <w:sz w:val="22"/>
          <w:szCs w:val="22"/>
          <w:shd w:val="clear" w:color="auto" w:fill="FFFFFF"/>
        </w:rPr>
        <w:t xml:space="preserve">alutazione dell'andamento del mercato secondo </w:t>
      </w:r>
      <w:r w:rsidR="003A5C81">
        <w:rPr>
          <w:rFonts w:ascii="Calibri" w:hAnsi="Calibri"/>
          <w:i/>
          <w:sz w:val="22"/>
          <w:szCs w:val="22"/>
          <w:shd w:val="clear" w:color="auto" w:fill="FFFFFF"/>
        </w:rPr>
        <w:t>utilizzo</w:t>
      </w:r>
      <w:r w:rsidR="00797B5F">
        <w:rPr>
          <w:rFonts w:ascii="Calibri" w:hAnsi="Calibri"/>
          <w:i/>
          <w:sz w:val="22"/>
          <w:szCs w:val="22"/>
          <w:shd w:val="clear" w:color="auto" w:fill="FFFFFF"/>
        </w:rPr>
        <w:t xml:space="preserve"> dell'attrezzatura. </w:t>
      </w:r>
      <w:r w:rsidR="007108BA">
        <w:rPr>
          <w:rFonts w:ascii="Calibri" w:hAnsi="Calibri"/>
          <w:i/>
          <w:sz w:val="22"/>
          <w:szCs w:val="22"/>
          <w:shd w:val="clear" w:color="auto" w:fill="FFFFFF"/>
        </w:rPr>
        <w:t>Anno</w:t>
      </w:r>
      <w:r w:rsidR="007108BA" w:rsidRPr="0021679B">
        <w:rPr>
          <w:rFonts w:ascii="Calibri" w:hAnsi="Calibri"/>
          <w:i/>
          <w:sz w:val="22"/>
          <w:szCs w:val="22"/>
          <w:shd w:val="clear" w:color="auto" w:fill="FFFFFF"/>
        </w:rPr>
        <w:t xml:space="preserve"> 201</w:t>
      </w:r>
      <w:r>
        <w:rPr>
          <w:rFonts w:ascii="Calibri" w:hAnsi="Calibri"/>
          <w:i/>
          <w:sz w:val="22"/>
          <w:szCs w:val="22"/>
          <w:shd w:val="clear" w:color="auto" w:fill="FFFFFF"/>
        </w:rPr>
        <w:t>7</w:t>
      </w:r>
      <w:r w:rsidR="00797B5F">
        <w:rPr>
          <w:rFonts w:ascii="Calibri" w:hAnsi="Calibri"/>
          <w:i/>
          <w:sz w:val="22"/>
          <w:szCs w:val="22"/>
          <w:shd w:val="clear" w:color="auto" w:fill="FFFFFF"/>
        </w:rPr>
        <w:t>.</w:t>
      </w:r>
    </w:p>
    <w:p w14:paraId="39ECC51D" w14:textId="2CF2F3B7" w:rsidR="007108BA" w:rsidRDefault="00BB40C7" w:rsidP="006E0627">
      <w:pPr>
        <w:shd w:val="clear" w:color="auto" w:fill="FFFFFF"/>
        <w:jc w:val="both"/>
        <w:rPr>
          <w:rFonts w:ascii="Calibri" w:hAnsi="Calibri"/>
          <w:sz w:val="22"/>
          <w:szCs w:val="22"/>
          <w:shd w:val="clear" w:color="auto" w:fill="FFFFFF"/>
        </w:rPr>
      </w:pPr>
      <w:r>
        <w:rPr>
          <w:rFonts w:ascii="Calibri" w:hAnsi="Calibri"/>
          <w:noProof/>
          <w:sz w:val="22"/>
          <w:szCs w:val="22"/>
          <w:shd w:val="clear" w:color="auto" w:fill="FFFFFF"/>
        </w:rPr>
        <w:drawing>
          <wp:inline distT="0" distB="0" distL="0" distR="0" wp14:anchorId="7F7C88BF" wp14:editId="2B6DD1B5">
            <wp:extent cx="4382770" cy="2672080"/>
            <wp:effectExtent l="0" t="0" r="1143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sioni Fig. 7.2.pdf"/>
                    <pic:cNvPicPr/>
                  </pic:nvPicPr>
                  <pic:blipFill>
                    <a:blip r:embed="rId15">
                      <a:extLst>
                        <a:ext uri="{28A0092B-C50C-407E-A947-70E740481C1C}">
                          <a14:useLocalDpi xmlns:a14="http://schemas.microsoft.com/office/drawing/2010/main" val="0"/>
                        </a:ext>
                      </a:extLst>
                    </a:blip>
                    <a:stretch>
                      <a:fillRect/>
                    </a:stretch>
                  </pic:blipFill>
                  <pic:spPr>
                    <a:xfrm>
                      <a:off x="0" y="0"/>
                      <a:ext cx="4382770" cy="2672080"/>
                    </a:xfrm>
                    <a:prstGeom prst="rect">
                      <a:avLst/>
                    </a:prstGeom>
                  </pic:spPr>
                </pic:pic>
              </a:graphicData>
            </a:graphic>
          </wp:inline>
        </w:drawing>
      </w:r>
    </w:p>
    <w:p w14:paraId="67A661E3" w14:textId="77777777" w:rsidR="003F6874" w:rsidRDefault="00752D5A" w:rsidP="006E0627">
      <w:pPr>
        <w:pStyle w:val="Titolo2"/>
        <w:spacing w:before="0"/>
        <w:rPr>
          <w:shd w:val="clear" w:color="auto" w:fill="FFFFFF"/>
        </w:rPr>
      </w:pPr>
      <w:bookmarkStart w:id="4" w:name="_Toc346891771"/>
      <w:r>
        <w:rPr>
          <w:shd w:val="clear" w:color="auto" w:fill="FFFFFF"/>
        </w:rPr>
        <w:t>Gli stranieri</w:t>
      </w:r>
      <w:bookmarkEnd w:id="4"/>
    </w:p>
    <w:p w14:paraId="4281CB85" w14:textId="16BA2A76" w:rsidR="00BD45A4" w:rsidRDefault="0085665A"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 xml:space="preserve">La stagione estiva 2017 sembra confermare il ritorno di turisti dall'estero nelle strutture "open air", seppur con un tasso di crescita di poco superiore a quello degli italiani (+2,6% contro +2,1%). In provincia di Lucca è stato stimato l'incremento maggiore (+14%), caso unico e particolare dovuto ad un mercato giovane, mentre </w:t>
      </w:r>
      <w:r w:rsidR="00BD45A4">
        <w:rPr>
          <w:rFonts w:ascii="Calibri" w:hAnsi="Calibri"/>
          <w:sz w:val="22"/>
          <w:szCs w:val="22"/>
          <w:shd w:val="clear" w:color="auto" w:fill="FFFFFF"/>
        </w:rPr>
        <w:t>tra i</w:t>
      </w:r>
      <w:r>
        <w:rPr>
          <w:rFonts w:ascii="Calibri" w:hAnsi="Calibri"/>
          <w:sz w:val="22"/>
          <w:szCs w:val="22"/>
          <w:shd w:val="clear" w:color="auto" w:fill="FFFFFF"/>
        </w:rPr>
        <w:t xml:space="preserve"> </w:t>
      </w:r>
      <w:r w:rsidR="00BD45A4">
        <w:rPr>
          <w:rFonts w:ascii="Calibri" w:hAnsi="Calibri"/>
          <w:sz w:val="22"/>
          <w:szCs w:val="22"/>
          <w:shd w:val="clear" w:color="auto" w:fill="FFFFFF"/>
        </w:rPr>
        <w:t>territori</w:t>
      </w:r>
      <w:r>
        <w:rPr>
          <w:rFonts w:ascii="Calibri" w:hAnsi="Calibri"/>
          <w:sz w:val="22"/>
          <w:szCs w:val="22"/>
          <w:shd w:val="clear" w:color="auto" w:fill="FFFFFF"/>
        </w:rPr>
        <w:t xml:space="preserve"> dove il mercato è più radicato e l'offerta maggiore</w:t>
      </w:r>
      <w:r w:rsidR="00880E87">
        <w:rPr>
          <w:rFonts w:ascii="Calibri" w:hAnsi="Calibri"/>
          <w:sz w:val="22"/>
          <w:szCs w:val="22"/>
          <w:shd w:val="clear" w:color="auto" w:fill="FFFFFF"/>
        </w:rPr>
        <w:t>,</w:t>
      </w:r>
      <w:r>
        <w:rPr>
          <w:rFonts w:ascii="Calibri" w:hAnsi="Calibri"/>
          <w:sz w:val="22"/>
          <w:szCs w:val="22"/>
          <w:shd w:val="clear" w:color="auto" w:fill="FFFFFF"/>
        </w:rPr>
        <w:t xml:space="preserve"> </w:t>
      </w:r>
      <w:r w:rsidR="00BD45A4">
        <w:rPr>
          <w:rFonts w:ascii="Calibri" w:hAnsi="Calibri"/>
          <w:sz w:val="22"/>
          <w:szCs w:val="22"/>
          <w:shd w:val="clear" w:color="auto" w:fill="FFFFFF"/>
        </w:rPr>
        <w:t xml:space="preserve">la crescita </w:t>
      </w:r>
      <w:r w:rsidR="00880E87">
        <w:rPr>
          <w:rFonts w:ascii="Calibri" w:hAnsi="Calibri"/>
          <w:sz w:val="22"/>
          <w:szCs w:val="22"/>
          <w:shd w:val="clear" w:color="auto" w:fill="FFFFFF"/>
        </w:rPr>
        <w:t>più forte</w:t>
      </w:r>
      <w:r w:rsidR="00BD45A4">
        <w:rPr>
          <w:rFonts w:ascii="Calibri" w:hAnsi="Calibri"/>
          <w:sz w:val="22"/>
          <w:szCs w:val="22"/>
          <w:shd w:val="clear" w:color="auto" w:fill="FFFFFF"/>
        </w:rPr>
        <w:t xml:space="preserve"> delle presenze straniere è prevista nella provincia di Pisa (+5%), di Firenze (+3,8%) e di Siena (+3,8%). Interessanti anche le previsioni per le province costiere, in particolare Grosseto (+2,9%), Livorno (+2,4%) e l'Isola d'Elba che segnala una attesa </w:t>
      </w:r>
      <w:r w:rsidR="003A5C81">
        <w:rPr>
          <w:rFonts w:ascii="Calibri" w:hAnsi="Calibri"/>
          <w:sz w:val="22"/>
          <w:szCs w:val="22"/>
          <w:shd w:val="clear" w:color="auto" w:fill="FFFFFF"/>
        </w:rPr>
        <w:t>di crescita degli stranieri di oltre il</w:t>
      </w:r>
      <w:r w:rsidR="00BD45A4">
        <w:rPr>
          <w:rFonts w:ascii="Calibri" w:hAnsi="Calibri"/>
          <w:sz w:val="22"/>
          <w:szCs w:val="22"/>
          <w:shd w:val="clear" w:color="auto" w:fill="FFFFFF"/>
        </w:rPr>
        <w:t xml:space="preserve"> 4%.</w:t>
      </w:r>
    </w:p>
    <w:p w14:paraId="06D1A241" w14:textId="4DE36C86" w:rsidR="00A90D6C" w:rsidRPr="00443414" w:rsidRDefault="003A5C81" w:rsidP="006E0627">
      <w:pPr>
        <w:shd w:val="clear" w:color="auto" w:fill="FFFFFF"/>
        <w:jc w:val="both"/>
        <w:rPr>
          <w:rFonts w:ascii="Calibri" w:hAnsi="Calibri"/>
          <w:i/>
          <w:sz w:val="22"/>
          <w:szCs w:val="22"/>
          <w:shd w:val="clear" w:color="auto" w:fill="FFFFFF"/>
        </w:rPr>
      </w:pPr>
      <w:r w:rsidRPr="004C195E">
        <w:rPr>
          <w:i/>
          <w:shd w:val="clear" w:color="auto" w:fill="FFFFFF"/>
        </w:rPr>
        <w:t xml:space="preserve">Fig. </w:t>
      </w:r>
      <w:r w:rsidRPr="004C195E">
        <w:rPr>
          <w:i/>
          <w:shd w:val="clear" w:color="auto" w:fill="FFFFFF"/>
        </w:rPr>
        <w:fldChar w:fldCharType="begin"/>
      </w:r>
      <w:r w:rsidRPr="004C195E">
        <w:rPr>
          <w:i/>
          <w:shd w:val="clear" w:color="auto" w:fill="FFFFFF"/>
        </w:rPr>
        <w:instrText xml:space="preserve"> SEQ Fig._ \* ARABIC </w:instrText>
      </w:r>
      <w:r w:rsidRPr="004C195E">
        <w:rPr>
          <w:i/>
          <w:shd w:val="clear" w:color="auto" w:fill="FFFFFF"/>
        </w:rPr>
        <w:fldChar w:fldCharType="separate"/>
      </w:r>
      <w:r>
        <w:rPr>
          <w:i/>
          <w:noProof/>
          <w:shd w:val="clear" w:color="auto" w:fill="FFFFFF"/>
        </w:rPr>
        <w:t>8</w:t>
      </w:r>
      <w:r w:rsidRPr="004C195E">
        <w:rPr>
          <w:i/>
          <w:shd w:val="clear" w:color="auto" w:fill="FFFFFF"/>
        </w:rPr>
        <w:fldChar w:fldCharType="end"/>
      </w:r>
      <w:r w:rsidRPr="004C195E">
        <w:rPr>
          <w:i/>
          <w:shd w:val="clear" w:color="auto" w:fill="FFFFFF"/>
        </w:rPr>
        <w:t xml:space="preserve">. </w:t>
      </w:r>
      <w:r>
        <w:rPr>
          <w:rFonts w:ascii="Calibri" w:hAnsi="Calibri"/>
          <w:i/>
          <w:sz w:val="22"/>
          <w:szCs w:val="22"/>
          <w:shd w:val="clear" w:color="auto" w:fill="FFFFFF"/>
        </w:rPr>
        <w:t>V</w:t>
      </w:r>
      <w:r w:rsidR="00A90D6C" w:rsidRPr="00443414">
        <w:rPr>
          <w:rFonts w:ascii="Calibri" w:hAnsi="Calibri"/>
          <w:i/>
          <w:sz w:val="22"/>
          <w:szCs w:val="22"/>
          <w:shd w:val="clear" w:color="auto" w:fill="FFFFFF"/>
        </w:rPr>
        <w:t xml:space="preserve">ariazione </w:t>
      </w:r>
      <w:r>
        <w:rPr>
          <w:rFonts w:ascii="Calibri" w:hAnsi="Calibri"/>
          <w:i/>
          <w:sz w:val="22"/>
          <w:szCs w:val="22"/>
          <w:shd w:val="clear" w:color="auto" w:fill="FFFFFF"/>
        </w:rPr>
        <w:t xml:space="preserve">prevista </w:t>
      </w:r>
      <w:r w:rsidR="00443414">
        <w:rPr>
          <w:rFonts w:ascii="Calibri" w:hAnsi="Calibri"/>
          <w:i/>
          <w:sz w:val="22"/>
          <w:szCs w:val="22"/>
          <w:shd w:val="clear" w:color="auto" w:fill="FFFFFF"/>
        </w:rPr>
        <w:t xml:space="preserve">presenza </w:t>
      </w:r>
      <w:r w:rsidR="00A90D6C" w:rsidRPr="00443414">
        <w:rPr>
          <w:rFonts w:ascii="Calibri" w:hAnsi="Calibri"/>
          <w:i/>
          <w:sz w:val="22"/>
          <w:szCs w:val="22"/>
          <w:shd w:val="clear" w:color="auto" w:fill="FFFFFF"/>
        </w:rPr>
        <w:t>turisti stranie</w:t>
      </w:r>
      <w:r>
        <w:rPr>
          <w:rFonts w:ascii="Calibri" w:hAnsi="Calibri"/>
          <w:i/>
          <w:sz w:val="22"/>
          <w:szCs w:val="22"/>
          <w:shd w:val="clear" w:color="auto" w:fill="FFFFFF"/>
        </w:rPr>
        <w:t>ri per provincia</w:t>
      </w:r>
      <w:r w:rsidR="009000BA">
        <w:rPr>
          <w:rFonts w:ascii="Calibri" w:hAnsi="Calibri"/>
          <w:i/>
          <w:sz w:val="22"/>
          <w:szCs w:val="22"/>
          <w:shd w:val="clear" w:color="auto" w:fill="FFFFFF"/>
        </w:rPr>
        <w:t xml:space="preserve"> e risorsa prevalente</w:t>
      </w:r>
      <w:r>
        <w:rPr>
          <w:rFonts w:ascii="Calibri" w:hAnsi="Calibri"/>
          <w:i/>
          <w:sz w:val="22"/>
          <w:szCs w:val="22"/>
          <w:shd w:val="clear" w:color="auto" w:fill="FFFFFF"/>
        </w:rPr>
        <w:t>. Anno 2017.</w:t>
      </w:r>
    </w:p>
    <w:p w14:paraId="334A3D61" w14:textId="2C3B176D" w:rsidR="00A90D6C" w:rsidRDefault="009000BA" w:rsidP="006E0627">
      <w:pPr>
        <w:shd w:val="clear" w:color="auto" w:fill="FFFFFF"/>
        <w:jc w:val="both"/>
        <w:rPr>
          <w:rFonts w:ascii="Calibri" w:hAnsi="Calibri"/>
          <w:sz w:val="22"/>
          <w:szCs w:val="22"/>
          <w:shd w:val="clear" w:color="auto" w:fill="FFFFFF"/>
        </w:rPr>
      </w:pPr>
      <w:r>
        <w:rPr>
          <w:rFonts w:ascii="Calibri" w:hAnsi="Calibri"/>
          <w:noProof/>
          <w:sz w:val="22"/>
          <w:szCs w:val="22"/>
          <w:shd w:val="clear" w:color="auto" w:fill="FFFFFF"/>
        </w:rPr>
        <w:lastRenderedPageBreak/>
        <w:drawing>
          <wp:inline distT="0" distB="0" distL="0" distR="0" wp14:anchorId="634B2158" wp14:editId="1D571E2B">
            <wp:extent cx="4382770" cy="4557446"/>
            <wp:effectExtent l="0" t="0" r="1143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2770" cy="4557446"/>
                    </a:xfrm>
                    <a:prstGeom prst="rect">
                      <a:avLst/>
                    </a:prstGeom>
                    <a:noFill/>
                    <a:ln>
                      <a:noFill/>
                    </a:ln>
                  </pic:spPr>
                </pic:pic>
              </a:graphicData>
            </a:graphic>
          </wp:inline>
        </w:drawing>
      </w:r>
    </w:p>
    <w:p w14:paraId="322D11D7" w14:textId="7278A902" w:rsidR="009000BA" w:rsidRDefault="009000BA" w:rsidP="006E0627">
      <w:pPr>
        <w:shd w:val="clear" w:color="auto" w:fill="FFFFFF"/>
        <w:jc w:val="both"/>
        <w:rPr>
          <w:rFonts w:ascii="Calibri" w:hAnsi="Calibri"/>
          <w:sz w:val="22"/>
          <w:szCs w:val="22"/>
          <w:shd w:val="clear" w:color="auto" w:fill="FFFFFF"/>
        </w:rPr>
      </w:pPr>
      <w:r w:rsidRPr="009000BA">
        <w:rPr>
          <w:rFonts w:ascii="Calibri" w:hAnsi="Calibri"/>
          <w:sz w:val="22"/>
          <w:szCs w:val="22"/>
          <w:shd w:val="clear" w:color="auto" w:fill="FFFFFF"/>
        </w:rPr>
        <w:t xml:space="preserve">A conferma di quanto </w:t>
      </w:r>
      <w:r>
        <w:rPr>
          <w:rFonts w:ascii="Calibri" w:hAnsi="Calibri"/>
          <w:sz w:val="22"/>
          <w:szCs w:val="22"/>
          <w:shd w:val="clear" w:color="auto" w:fill="FFFFFF"/>
        </w:rPr>
        <w:t xml:space="preserve">analizzato a livello provinciale, lo studio per risorsa </w:t>
      </w:r>
      <w:r w:rsidR="00C102FD">
        <w:rPr>
          <w:rFonts w:ascii="Calibri" w:hAnsi="Calibri"/>
          <w:sz w:val="22"/>
          <w:szCs w:val="22"/>
          <w:shd w:val="clear" w:color="auto" w:fill="FFFFFF"/>
        </w:rPr>
        <w:t>conferma la previsione della crescita di stranieri</w:t>
      </w:r>
      <w:r w:rsidR="002B4850">
        <w:rPr>
          <w:rFonts w:ascii="Calibri" w:hAnsi="Calibri"/>
          <w:sz w:val="22"/>
          <w:szCs w:val="22"/>
          <w:shd w:val="clear" w:color="auto" w:fill="FFFFFF"/>
        </w:rPr>
        <w:t>,</w:t>
      </w:r>
      <w:r w:rsidR="00C102FD">
        <w:rPr>
          <w:rFonts w:ascii="Calibri" w:hAnsi="Calibri"/>
          <w:sz w:val="22"/>
          <w:szCs w:val="22"/>
          <w:shd w:val="clear" w:color="auto" w:fill="FFFFFF"/>
        </w:rPr>
        <w:t xml:space="preserve"> prevalentemente nelle città d'arte e nelle tipicità toscane (+4,0%).</w:t>
      </w:r>
    </w:p>
    <w:p w14:paraId="2BB0D560" w14:textId="19F8AAF7" w:rsidR="007E1234" w:rsidRDefault="009C75F7"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Alla luce di queste variazioni</w:t>
      </w:r>
      <w:r w:rsidR="002B4850">
        <w:rPr>
          <w:rFonts w:ascii="Calibri" w:hAnsi="Calibri"/>
          <w:sz w:val="22"/>
          <w:szCs w:val="22"/>
          <w:shd w:val="clear" w:color="auto" w:fill="FFFFFF"/>
        </w:rPr>
        <w:t>,</w:t>
      </w:r>
      <w:r>
        <w:rPr>
          <w:rFonts w:ascii="Calibri" w:hAnsi="Calibri"/>
          <w:sz w:val="22"/>
          <w:szCs w:val="22"/>
          <w:shd w:val="clear" w:color="auto" w:fill="FFFFFF"/>
        </w:rPr>
        <w:t xml:space="preserve"> si prevede che mediamente gli stranieri copriranno il 46% delle presenze,</w:t>
      </w:r>
      <w:r w:rsidR="007E1234">
        <w:rPr>
          <w:rFonts w:ascii="Calibri" w:hAnsi="Calibri"/>
          <w:sz w:val="22"/>
          <w:szCs w:val="22"/>
          <w:shd w:val="clear" w:color="auto" w:fill="FFFFFF"/>
        </w:rPr>
        <w:t xml:space="preserve"> con massimi a Firenze (84%), Pisa (82,7%) e le città d'arte in genere (86%). Minimi a Grosseto (25%), Massa Carrara (45,4%) e il balneare in genere (40,3%).</w:t>
      </w:r>
    </w:p>
    <w:p w14:paraId="4294B7AE" w14:textId="2E90877A" w:rsidR="00C102FD" w:rsidRPr="009000BA" w:rsidRDefault="00A2558A" w:rsidP="006E0627">
      <w:pPr>
        <w:shd w:val="clear" w:color="auto" w:fill="FFFFFF"/>
        <w:jc w:val="both"/>
        <w:rPr>
          <w:rFonts w:ascii="Calibri" w:hAnsi="Calibri"/>
          <w:sz w:val="22"/>
          <w:szCs w:val="22"/>
          <w:shd w:val="clear" w:color="auto" w:fill="FFFFFF"/>
        </w:rPr>
      </w:pPr>
      <w:r>
        <w:rPr>
          <w:rFonts w:ascii="Calibri" w:hAnsi="Calibri"/>
          <w:sz w:val="22"/>
          <w:szCs w:val="22"/>
          <w:shd w:val="clear" w:color="auto" w:fill="FFFFFF"/>
        </w:rPr>
        <w:t>Per quanto riguarda i diversi paesi, il 26% degli intervistati segnala come origine "sorpresa" la Germania, seguita da Olanda (più nelle aree interne) e Francia.</w:t>
      </w:r>
    </w:p>
    <w:p w14:paraId="42217AB2" w14:textId="1C085653" w:rsidR="005105DA" w:rsidRDefault="00A2558A" w:rsidP="006E0627">
      <w:pPr>
        <w:shd w:val="clear" w:color="auto" w:fill="FFFFFF"/>
        <w:jc w:val="both"/>
        <w:rPr>
          <w:rFonts w:ascii="Calibri" w:hAnsi="Calibri"/>
          <w:i/>
          <w:sz w:val="22"/>
          <w:szCs w:val="22"/>
          <w:shd w:val="clear" w:color="auto" w:fill="FFFFFF"/>
        </w:rPr>
      </w:pPr>
      <w:r w:rsidRPr="004C195E">
        <w:rPr>
          <w:i/>
          <w:shd w:val="clear" w:color="auto" w:fill="FFFFFF"/>
        </w:rPr>
        <w:t xml:space="preserve">Fig. </w:t>
      </w:r>
      <w:r w:rsidRPr="004C195E">
        <w:rPr>
          <w:i/>
          <w:shd w:val="clear" w:color="auto" w:fill="FFFFFF"/>
        </w:rPr>
        <w:fldChar w:fldCharType="begin"/>
      </w:r>
      <w:r w:rsidRPr="004C195E">
        <w:rPr>
          <w:i/>
          <w:shd w:val="clear" w:color="auto" w:fill="FFFFFF"/>
        </w:rPr>
        <w:instrText xml:space="preserve"> SEQ Fig._ \* ARABIC </w:instrText>
      </w:r>
      <w:r w:rsidRPr="004C195E">
        <w:rPr>
          <w:i/>
          <w:shd w:val="clear" w:color="auto" w:fill="FFFFFF"/>
        </w:rPr>
        <w:fldChar w:fldCharType="separate"/>
      </w:r>
      <w:r>
        <w:rPr>
          <w:i/>
          <w:noProof/>
          <w:shd w:val="clear" w:color="auto" w:fill="FFFFFF"/>
        </w:rPr>
        <w:t>9</w:t>
      </w:r>
      <w:r w:rsidRPr="004C195E">
        <w:rPr>
          <w:i/>
          <w:shd w:val="clear" w:color="auto" w:fill="FFFFFF"/>
        </w:rPr>
        <w:fldChar w:fldCharType="end"/>
      </w:r>
      <w:r w:rsidRPr="004C195E">
        <w:rPr>
          <w:i/>
          <w:shd w:val="clear" w:color="auto" w:fill="FFFFFF"/>
        </w:rPr>
        <w:t xml:space="preserve">. </w:t>
      </w:r>
      <w:r w:rsidR="002B4850">
        <w:rPr>
          <w:rFonts w:ascii="Calibri" w:hAnsi="Calibri"/>
          <w:i/>
          <w:sz w:val="22"/>
          <w:szCs w:val="22"/>
          <w:shd w:val="clear" w:color="auto" w:fill="FFFFFF"/>
        </w:rPr>
        <w:t>Nazioni sorpresa estate 2017.</w:t>
      </w:r>
    </w:p>
    <w:p w14:paraId="196CCAF2" w14:textId="73C3754F" w:rsidR="00F65542" w:rsidRDefault="00F65542" w:rsidP="006E0627">
      <w:pPr>
        <w:shd w:val="clear" w:color="auto" w:fill="FFFFFF"/>
        <w:jc w:val="both"/>
        <w:rPr>
          <w:rFonts w:ascii="Calibri" w:hAnsi="Calibri"/>
          <w:i/>
          <w:sz w:val="22"/>
          <w:szCs w:val="22"/>
          <w:shd w:val="clear" w:color="auto" w:fill="FFFFFF"/>
        </w:rPr>
      </w:pPr>
    </w:p>
    <w:p w14:paraId="6634B139" w14:textId="1EF122C4" w:rsidR="0072107F" w:rsidRPr="0072107F" w:rsidRDefault="002B4850" w:rsidP="006E0627">
      <w:pPr>
        <w:jc w:val="center"/>
      </w:pPr>
      <w:r>
        <w:rPr>
          <w:noProof/>
        </w:rPr>
        <w:lastRenderedPageBreak/>
        <w:drawing>
          <wp:inline distT="0" distB="0" distL="0" distR="0" wp14:anchorId="54B70B8A" wp14:editId="4EB4FA0A">
            <wp:extent cx="4382770" cy="2670689"/>
            <wp:effectExtent l="0" t="0" r="11430" b="0"/>
            <wp:docPr id="21"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2770" cy="2670689"/>
                    </a:xfrm>
                    <a:prstGeom prst="rect">
                      <a:avLst/>
                    </a:prstGeom>
                    <a:noFill/>
                    <a:ln>
                      <a:noFill/>
                    </a:ln>
                  </pic:spPr>
                </pic:pic>
              </a:graphicData>
            </a:graphic>
          </wp:inline>
        </w:drawing>
      </w:r>
    </w:p>
    <w:p w14:paraId="39CCC271" w14:textId="77777777" w:rsidR="00FE04BF" w:rsidRPr="005A5B7A" w:rsidRDefault="00FE04BF" w:rsidP="006E0627">
      <w:pPr>
        <w:pStyle w:val="Titolo1"/>
        <w:spacing w:before="0"/>
      </w:pPr>
      <w:bookmarkStart w:id="5" w:name="_Toc283546518"/>
      <w:bookmarkStart w:id="6" w:name="_Toc346891775"/>
      <w:r w:rsidRPr="005A5B7A">
        <w:t>Metodologia</w:t>
      </w:r>
      <w:bookmarkEnd w:id="5"/>
      <w:bookmarkEnd w:id="6"/>
    </w:p>
    <w:p w14:paraId="4A27D8B8" w14:textId="77777777" w:rsidR="00EC790A" w:rsidRPr="00EC790A" w:rsidRDefault="00EC790A" w:rsidP="00EC790A">
      <w:pPr>
        <w:shd w:val="clear" w:color="auto" w:fill="FFFFFF"/>
        <w:jc w:val="both"/>
        <w:rPr>
          <w:rFonts w:ascii="Calibri" w:hAnsi="Calibri"/>
          <w:sz w:val="22"/>
          <w:szCs w:val="22"/>
          <w:shd w:val="clear" w:color="auto" w:fill="FFFFFF"/>
        </w:rPr>
      </w:pPr>
      <w:r w:rsidRPr="00EC790A">
        <w:rPr>
          <w:rFonts w:ascii="Calibri" w:hAnsi="Calibri"/>
          <w:sz w:val="22"/>
          <w:szCs w:val="22"/>
          <w:shd w:val="clear" w:color="auto" w:fill="FFFFFF"/>
        </w:rPr>
        <w:t xml:space="preserve">Le rilevazioni dell'Osservatorio sul Turismo all'Aria Aperta in Toscana sono state effettuate con la somministrazione di un questionario on line all’universo di 255 strutture ricettive all'aria aperta della Toscana (campeggi e villaggi turistici), in cui sono disponibili circa 180.000 posti letto per l’ospitalità di turisti, cui si aggiungono 91 </w:t>
      </w:r>
      <w:proofErr w:type="spellStart"/>
      <w:r w:rsidRPr="00EC790A">
        <w:rPr>
          <w:rFonts w:ascii="Calibri" w:hAnsi="Calibri"/>
          <w:sz w:val="22"/>
          <w:szCs w:val="22"/>
          <w:shd w:val="clear" w:color="auto" w:fill="FFFFFF"/>
        </w:rPr>
        <w:t>agricampeggio</w:t>
      </w:r>
      <w:proofErr w:type="spellEnd"/>
      <w:r w:rsidRPr="00EC790A">
        <w:rPr>
          <w:rFonts w:ascii="Calibri" w:hAnsi="Calibri"/>
          <w:sz w:val="22"/>
          <w:szCs w:val="22"/>
          <w:shd w:val="clear" w:color="auto" w:fill="FFFFFF"/>
        </w:rPr>
        <w:t>, aree di sosta e aree attrezzate, per un numero indeterminato di ricettività.</w:t>
      </w:r>
    </w:p>
    <w:p w14:paraId="75B1D625" w14:textId="77777777" w:rsidR="00EC790A" w:rsidRPr="00EC790A" w:rsidRDefault="00EC790A" w:rsidP="00EC790A">
      <w:pPr>
        <w:shd w:val="clear" w:color="auto" w:fill="FFFFFF"/>
        <w:jc w:val="both"/>
        <w:rPr>
          <w:rFonts w:ascii="Calibri" w:hAnsi="Calibri"/>
          <w:sz w:val="22"/>
          <w:szCs w:val="22"/>
          <w:shd w:val="clear" w:color="auto" w:fill="FFFFFF"/>
        </w:rPr>
      </w:pPr>
      <w:r w:rsidRPr="00EC790A">
        <w:rPr>
          <w:rFonts w:ascii="Calibri" w:hAnsi="Calibri"/>
          <w:sz w:val="22"/>
          <w:szCs w:val="22"/>
          <w:shd w:val="clear" w:color="auto" w:fill="FFFFFF"/>
        </w:rPr>
        <w:t>Nel 2017, le rilevazioni saranno effettuate, come di consueto negli anni scorsi, durante due periodi</w:t>
      </w:r>
    </w:p>
    <w:p w14:paraId="42713856" w14:textId="5E48ACC7" w:rsidR="00EC790A" w:rsidRPr="00EC790A" w:rsidRDefault="00EC790A" w:rsidP="00EC790A">
      <w:pPr>
        <w:pStyle w:val="Paragrafoelenco"/>
        <w:numPr>
          <w:ilvl w:val="0"/>
          <w:numId w:val="16"/>
        </w:numPr>
        <w:shd w:val="clear" w:color="auto" w:fill="FFFFFF"/>
        <w:jc w:val="both"/>
        <w:rPr>
          <w:rFonts w:ascii="Calibri" w:hAnsi="Calibri"/>
          <w:sz w:val="22"/>
          <w:szCs w:val="22"/>
          <w:shd w:val="clear" w:color="auto" w:fill="FFFFFF"/>
        </w:rPr>
      </w:pPr>
      <w:r w:rsidRPr="00EC790A">
        <w:rPr>
          <w:rFonts w:ascii="Calibri" w:hAnsi="Calibri"/>
          <w:sz w:val="22"/>
          <w:szCs w:val="22"/>
          <w:shd w:val="clear" w:color="auto" w:fill="FFFFFF"/>
        </w:rPr>
        <w:t>Previsionale, quello presentato in questo report, all’'inizio della stagione estiva</w:t>
      </w:r>
    </w:p>
    <w:p w14:paraId="0C8B0E7E" w14:textId="25194701" w:rsidR="00EC790A" w:rsidRPr="00EC790A" w:rsidRDefault="00EC790A" w:rsidP="00EC790A">
      <w:pPr>
        <w:pStyle w:val="Paragrafoelenco"/>
        <w:numPr>
          <w:ilvl w:val="0"/>
          <w:numId w:val="16"/>
        </w:numPr>
        <w:shd w:val="clear" w:color="auto" w:fill="FFFFFF"/>
        <w:jc w:val="both"/>
        <w:rPr>
          <w:rFonts w:ascii="Calibri" w:hAnsi="Calibri"/>
          <w:sz w:val="22"/>
          <w:szCs w:val="22"/>
          <w:shd w:val="clear" w:color="auto" w:fill="FFFFFF"/>
        </w:rPr>
      </w:pPr>
      <w:r w:rsidRPr="00EC790A">
        <w:rPr>
          <w:rFonts w:ascii="Calibri" w:hAnsi="Calibri"/>
          <w:sz w:val="22"/>
          <w:szCs w:val="22"/>
          <w:shd w:val="clear" w:color="auto" w:fill="FFFFFF"/>
        </w:rPr>
        <w:t>Consuntivo: previsto per il mese di settembre per rilevare il dato finale della stagione estiva.</w:t>
      </w:r>
    </w:p>
    <w:p w14:paraId="190F34FD" w14:textId="77777777" w:rsidR="00EC790A" w:rsidRPr="00EC790A" w:rsidRDefault="00EC790A" w:rsidP="00EC790A">
      <w:pPr>
        <w:shd w:val="clear" w:color="auto" w:fill="FFFFFF"/>
        <w:jc w:val="both"/>
        <w:rPr>
          <w:rFonts w:ascii="Calibri" w:hAnsi="Calibri"/>
          <w:sz w:val="22"/>
          <w:szCs w:val="22"/>
          <w:shd w:val="clear" w:color="auto" w:fill="FFFFFF"/>
        </w:rPr>
      </w:pPr>
      <w:r w:rsidRPr="00EC790A">
        <w:rPr>
          <w:rFonts w:ascii="Calibri" w:hAnsi="Calibri"/>
          <w:sz w:val="22"/>
          <w:szCs w:val="22"/>
          <w:shd w:val="clear" w:color="auto" w:fill="FFFFFF"/>
        </w:rPr>
        <w:t>Il questionario è composto da una parte ripetuta negli anni, per misurare l'evoluzione della congiuntura turistica, e una parte di approfondimento sulla condivisione dei responsabili e titolari dei campeggi per un processo di sviluppo di una strutturata forma societaria che si occupai di promozione e marketing.</w:t>
      </w:r>
    </w:p>
    <w:p w14:paraId="77707B2A" w14:textId="77777777" w:rsidR="00EC790A" w:rsidRPr="00EC790A" w:rsidRDefault="00EC790A" w:rsidP="00EC790A">
      <w:pPr>
        <w:shd w:val="clear" w:color="auto" w:fill="FFFFFF"/>
        <w:jc w:val="both"/>
        <w:rPr>
          <w:rFonts w:ascii="Calibri" w:hAnsi="Calibri"/>
          <w:sz w:val="22"/>
          <w:szCs w:val="22"/>
          <w:shd w:val="clear" w:color="auto" w:fill="FFFFFF"/>
        </w:rPr>
      </w:pPr>
      <w:r w:rsidRPr="00EC790A">
        <w:rPr>
          <w:rFonts w:ascii="Calibri" w:hAnsi="Calibri"/>
          <w:sz w:val="22"/>
          <w:szCs w:val="22"/>
          <w:shd w:val="clear" w:color="auto" w:fill="FFFFFF"/>
        </w:rPr>
        <w:t>Per la realizzazione dell'osservatorio è stata necessaria la partecipazione attiva di tutte le strutture ricettive, sia per la compilazione dei format quando richiesto, sia per la proposta di elementi da indagare.</w:t>
      </w:r>
    </w:p>
    <w:p w14:paraId="3131EF5F" w14:textId="77777777" w:rsidR="00EC790A" w:rsidRPr="00EC790A" w:rsidRDefault="00EC790A" w:rsidP="00EC790A">
      <w:pPr>
        <w:shd w:val="clear" w:color="auto" w:fill="FFFFFF"/>
        <w:jc w:val="both"/>
        <w:rPr>
          <w:rFonts w:ascii="Calibri" w:hAnsi="Calibri"/>
          <w:sz w:val="22"/>
          <w:szCs w:val="22"/>
          <w:shd w:val="clear" w:color="auto" w:fill="FFFFFF"/>
        </w:rPr>
      </w:pPr>
      <w:r w:rsidRPr="00EC790A">
        <w:rPr>
          <w:rFonts w:ascii="Calibri" w:hAnsi="Calibri"/>
          <w:sz w:val="22"/>
          <w:szCs w:val="22"/>
          <w:shd w:val="clear" w:color="auto" w:fill="FFFFFF"/>
        </w:rPr>
        <w:lastRenderedPageBreak/>
        <w:t>Si è confermata, con gli opportuni aggiornamenti dell’offerta 2017, la banca dati ufficiale delle strutture reperita nei siti delle Amministrazioni Provinciali e direttamente presso le strutture nel corso dell'osservatorio 2013. Anche nel corso di questo anno, come per il precedente, sono state rilevate altre forme di ricettività all'aria aperta facenti capo ad altre tipologie, come gli agriturismo e le aree di sosta.</w:t>
      </w:r>
    </w:p>
    <w:p w14:paraId="63B8E5C1" w14:textId="77777777" w:rsidR="00EC790A" w:rsidRPr="00EC790A" w:rsidRDefault="00EC790A" w:rsidP="00EC790A">
      <w:pPr>
        <w:shd w:val="clear" w:color="auto" w:fill="FFFFFF"/>
        <w:jc w:val="both"/>
        <w:rPr>
          <w:rFonts w:ascii="Calibri" w:hAnsi="Calibri"/>
          <w:sz w:val="22"/>
          <w:szCs w:val="22"/>
          <w:shd w:val="clear" w:color="auto" w:fill="FFFFFF"/>
        </w:rPr>
      </w:pPr>
      <w:r w:rsidRPr="00EC790A">
        <w:rPr>
          <w:rFonts w:ascii="Calibri" w:hAnsi="Calibri"/>
          <w:sz w:val="22"/>
          <w:szCs w:val="22"/>
          <w:shd w:val="clear" w:color="auto" w:fill="FFFFFF"/>
        </w:rPr>
        <w:t xml:space="preserve">Questa integrazione ha portato ad un elenco di 346 strutture ed ha permesso di giungere ad un elenco significativo dell’offerta all'aria aperta in Toscana, realizzando un data base completo di nome, indirizzi, mail e informazioni strutturali di ognuno dei campeggi esistenti In particolare le informazioni sono relative a </w:t>
      </w:r>
    </w:p>
    <w:p w14:paraId="4752F993" w14:textId="4A62D91F" w:rsidR="00EC790A" w:rsidRPr="001B044E" w:rsidRDefault="00EC790A" w:rsidP="001B044E">
      <w:pPr>
        <w:pStyle w:val="Paragrafoelenco"/>
        <w:numPr>
          <w:ilvl w:val="0"/>
          <w:numId w:val="17"/>
        </w:numPr>
        <w:shd w:val="clear" w:color="auto" w:fill="FFFFFF"/>
        <w:jc w:val="both"/>
        <w:rPr>
          <w:rFonts w:ascii="Calibri" w:hAnsi="Calibri"/>
          <w:sz w:val="22"/>
          <w:szCs w:val="22"/>
          <w:shd w:val="clear" w:color="auto" w:fill="FFFFFF"/>
        </w:rPr>
      </w:pPr>
      <w:r w:rsidRPr="001B044E">
        <w:rPr>
          <w:rFonts w:ascii="Calibri" w:hAnsi="Calibri"/>
          <w:sz w:val="22"/>
          <w:szCs w:val="22"/>
          <w:shd w:val="clear" w:color="auto" w:fill="FFFFFF"/>
        </w:rPr>
        <w:t xml:space="preserve">Localizzazione (comune, provincia, risorsa turistica) </w:t>
      </w:r>
    </w:p>
    <w:p w14:paraId="553D5BC9" w14:textId="4D3058E5" w:rsidR="00EC790A" w:rsidRPr="001B044E" w:rsidRDefault="00EC790A" w:rsidP="001B044E">
      <w:pPr>
        <w:pStyle w:val="Paragrafoelenco"/>
        <w:numPr>
          <w:ilvl w:val="0"/>
          <w:numId w:val="17"/>
        </w:numPr>
        <w:shd w:val="clear" w:color="auto" w:fill="FFFFFF"/>
        <w:jc w:val="both"/>
        <w:rPr>
          <w:rFonts w:ascii="Calibri" w:hAnsi="Calibri"/>
          <w:sz w:val="22"/>
          <w:szCs w:val="22"/>
          <w:shd w:val="clear" w:color="auto" w:fill="FFFFFF"/>
        </w:rPr>
      </w:pPr>
      <w:r w:rsidRPr="001B044E">
        <w:rPr>
          <w:rFonts w:ascii="Calibri" w:hAnsi="Calibri"/>
          <w:sz w:val="22"/>
          <w:szCs w:val="22"/>
          <w:shd w:val="clear" w:color="auto" w:fill="FFFFFF"/>
        </w:rPr>
        <w:t xml:space="preserve">Tipologia di struttura (camping o villaggio) </w:t>
      </w:r>
    </w:p>
    <w:p w14:paraId="2DF710A0" w14:textId="52CF32D7" w:rsidR="00EC790A" w:rsidRPr="001B044E" w:rsidRDefault="00EC790A" w:rsidP="001B044E">
      <w:pPr>
        <w:pStyle w:val="Paragrafoelenco"/>
        <w:numPr>
          <w:ilvl w:val="0"/>
          <w:numId w:val="17"/>
        </w:numPr>
        <w:shd w:val="clear" w:color="auto" w:fill="FFFFFF"/>
        <w:jc w:val="both"/>
        <w:rPr>
          <w:rFonts w:ascii="Calibri" w:hAnsi="Calibri"/>
          <w:sz w:val="22"/>
          <w:szCs w:val="22"/>
          <w:shd w:val="clear" w:color="auto" w:fill="FFFFFF"/>
        </w:rPr>
      </w:pPr>
      <w:r w:rsidRPr="001B044E">
        <w:rPr>
          <w:rFonts w:ascii="Calibri" w:hAnsi="Calibri"/>
          <w:sz w:val="22"/>
          <w:szCs w:val="22"/>
          <w:shd w:val="clear" w:color="auto" w:fill="FFFFFF"/>
        </w:rPr>
        <w:t xml:space="preserve">Classificazione in stelle </w:t>
      </w:r>
    </w:p>
    <w:p w14:paraId="7A45A576" w14:textId="71DE404A" w:rsidR="00EC790A" w:rsidRPr="001B044E" w:rsidRDefault="00EC790A" w:rsidP="001B044E">
      <w:pPr>
        <w:pStyle w:val="Paragrafoelenco"/>
        <w:numPr>
          <w:ilvl w:val="0"/>
          <w:numId w:val="17"/>
        </w:numPr>
        <w:shd w:val="clear" w:color="auto" w:fill="FFFFFF"/>
        <w:jc w:val="both"/>
        <w:rPr>
          <w:rFonts w:ascii="Calibri" w:hAnsi="Calibri"/>
          <w:sz w:val="22"/>
          <w:szCs w:val="22"/>
          <w:shd w:val="clear" w:color="auto" w:fill="FFFFFF"/>
        </w:rPr>
      </w:pPr>
      <w:r w:rsidRPr="001B044E">
        <w:rPr>
          <w:rFonts w:ascii="Calibri" w:hAnsi="Calibri"/>
          <w:sz w:val="22"/>
          <w:szCs w:val="22"/>
          <w:shd w:val="clear" w:color="auto" w:fill="FFFFFF"/>
        </w:rPr>
        <w:t>Posti letto e piazzole (distinti in camper, roulotte, bungalow, piazzole per tende e case mobili)</w:t>
      </w:r>
    </w:p>
    <w:p w14:paraId="5CE989D0" w14:textId="76553D15" w:rsidR="00EC790A" w:rsidRPr="001B044E" w:rsidRDefault="00EC790A" w:rsidP="001B044E">
      <w:pPr>
        <w:pStyle w:val="Paragrafoelenco"/>
        <w:numPr>
          <w:ilvl w:val="0"/>
          <w:numId w:val="17"/>
        </w:numPr>
        <w:shd w:val="clear" w:color="auto" w:fill="FFFFFF"/>
        <w:jc w:val="both"/>
        <w:rPr>
          <w:rFonts w:ascii="Calibri" w:hAnsi="Calibri"/>
          <w:sz w:val="22"/>
          <w:szCs w:val="22"/>
          <w:shd w:val="clear" w:color="auto" w:fill="FFFFFF"/>
        </w:rPr>
      </w:pPr>
      <w:r w:rsidRPr="001B044E">
        <w:rPr>
          <w:rFonts w:ascii="Calibri" w:hAnsi="Calibri"/>
          <w:sz w:val="22"/>
          <w:szCs w:val="22"/>
          <w:shd w:val="clear" w:color="auto" w:fill="FFFFFF"/>
        </w:rPr>
        <w:t xml:space="preserve">Servizi disponibili </w:t>
      </w:r>
    </w:p>
    <w:p w14:paraId="1C336B39" w14:textId="77777777" w:rsidR="00EC790A" w:rsidRPr="00EC790A" w:rsidRDefault="00EC790A" w:rsidP="00EC790A">
      <w:pPr>
        <w:shd w:val="clear" w:color="auto" w:fill="FFFFFF"/>
        <w:jc w:val="both"/>
        <w:rPr>
          <w:rFonts w:ascii="Calibri" w:hAnsi="Calibri"/>
          <w:sz w:val="22"/>
          <w:szCs w:val="22"/>
          <w:shd w:val="clear" w:color="auto" w:fill="FFFFFF"/>
        </w:rPr>
      </w:pPr>
      <w:r w:rsidRPr="00EC790A">
        <w:rPr>
          <w:rFonts w:ascii="Calibri" w:hAnsi="Calibri"/>
          <w:sz w:val="22"/>
          <w:szCs w:val="22"/>
          <w:shd w:val="clear" w:color="auto" w:fill="FFFFFF"/>
        </w:rPr>
        <w:t>In entrambe le rilevazioni, la richiesta di compilazione del questionario è stata inviata a 346 gestori di strutture "plein aire".</w:t>
      </w:r>
    </w:p>
    <w:p w14:paraId="7BA53382" w14:textId="77777777" w:rsidR="00EC790A" w:rsidRPr="00EC790A" w:rsidRDefault="00EC790A" w:rsidP="00EC790A">
      <w:pPr>
        <w:shd w:val="clear" w:color="auto" w:fill="FFFFFF"/>
        <w:jc w:val="both"/>
        <w:rPr>
          <w:rFonts w:ascii="Calibri" w:hAnsi="Calibri"/>
          <w:sz w:val="22"/>
          <w:szCs w:val="22"/>
          <w:shd w:val="clear" w:color="auto" w:fill="FFFFFF"/>
        </w:rPr>
      </w:pPr>
      <w:r w:rsidRPr="00EC790A">
        <w:rPr>
          <w:rFonts w:ascii="Calibri" w:hAnsi="Calibri"/>
          <w:sz w:val="22"/>
          <w:szCs w:val="22"/>
          <w:shd w:val="clear" w:color="auto" w:fill="FFFFFF"/>
        </w:rPr>
        <w:t>Le risposte hanno avuto una copertura significativa rispetto all’universo di riferimento, raggiungendo 42 campeggi, il 17% di strutture ed il 20% dei posti letto disponibili, oltre 34mila dei 176mila totali. Gli errori campionari di stima sono significativamente limitati entro l’1,5%.</w:t>
      </w:r>
    </w:p>
    <w:p w14:paraId="0BB5FF36" w14:textId="77777777" w:rsidR="00EC790A" w:rsidRPr="00EC790A" w:rsidRDefault="00EC790A" w:rsidP="00EC790A">
      <w:pPr>
        <w:shd w:val="clear" w:color="auto" w:fill="FFFFFF"/>
        <w:jc w:val="both"/>
        <w:rPr>
          <w:rFonts w:ascii="Calibri" w:hAnsi="Calibri"/>
          <w:sz w:val="22"/>
          <w:szCs w:val="22"/>
          <w:shd w:val="clear" w:color="auto" w:fill="FFFFFF"/>
        </w:rPr>
      </w:pPr>
      <w:r w:rsidRPr="00EC790A">
        <w:rPr>
          <w:rFonts w:ascii="Calibri" w:hAnsi="Calibri"/>
          <w:sz w:val="22"/>
          <w:szCs w:val="22"/>
          <w:shd w:val="clear" w:color="auto" w:fill="FFFFFF"/>
        </w:rPr>
        <w:t xml:space="preserve">Sono quote importanti per tipologie di indagine come questa, non facili da raggiungere, il gruppo di lavoro si ritiene del tutto soddisfatto della numerosità e della rappresentatività raggiunta con il campione e dell’adesione alle due risposte tematiche finali che aprono a scenari di lavoro davvero interessanti e utili per la programmazione delle prossime stagioni di commercializzazione e promozione del comparto. </w:t>
      </w:r>
    </w:p>
    <w:p w14:paraId="600C6D31" w14:textId="5FE00C64" w:rsidR="00EC790A" w:rsidRPr="00747DC2" w:rsidRDefault="00EC790A" w:rsidP="00EC790A">
      <w:pPr>
        <w:spacing w:before="120" w:line="360" w:lineRule="auto"/>
        <w:jc w:val="center"/>
        <w:rPr>
          <w:rFonts w:ascii="Calibri" w:eastAsia="PMingLiU" w:hAnsi="Calibri" w:cs="Arial"/>
          <w:b/>
          <w:i/>
        </w:rPr>
      </w:pPr>
      <w:r w:rsidRPr="00747DC2">
        <w:rPr>
          <w:rFonts w:ascii="Calibri" w:eastAsia="PMingLiU" w:hAnsi="Calibri" w:cs="Arial"/>
          <w:b/>
          <w:i/>
        </w:rPr>
        <w:t>Universo e campione</w:t>
      </w:r>
    </w:p>
    <w:tbl>
      <w:tblPr>
        <w:tblW w:w="5000" w:type="pct"/>
        <w:tblCellMar>
          <w:left w:w="28" w:type="dxa"/>
          <w:right w:w="28" w:type="dxa"/>
        </w:tblCellMar>
        <w:tblLook w:val="04A0" w:firstRow="1" w:lastRow="0" w:firstColumn="1" w:lastColumn="0" w:noHBand="0" w:noVBand="1"/>
      </w:tblPr>
      <w:tblGrid>
        <w:gridCol w:w="1723"/>
        <w:gridCol w:w="818"/>
        <w:gridCol w:w="927"/>
        <w:gridCol w:w="818"/>
        <w:gridCol w:w="927"/>
        <w:gridCol w:w="818"/>
        <w:gridCol w:w="927"/>
      </w:tblGrid>
      <w:tr w:rsidR="00EC790A" w:rsidRPr="001B044E" w14:paraId="713C5E58" w14:textId="77777777" w:rsidTr="001B044E">
        <w:trPr>
          <w:trHeight w:val="20"/>
        </w:trPr>
        <w:tc>
          <w:tcPr>
            <w:tcW w:w="1238" w:type="pct"/>
            <w:tcBorders>
              <w:top w:val="single" w:sz="8" w:space="0" w:color="auto"/>
              <w:left w:val="nil"/>
              <w:bottom w:val="nil"/>
              <w:right w:val="nil"/>
            </w:tcBorders>
            <w:shd w:val="clear" w:color="auto" w:fill="auto"/>
            <w:vAlign w:val="center"/>
            <w:hideMark/>
          </w:tcPr>
          <w:p w14:paraId="57C5E1F1" w14:textId="77777777" w:rsidR="00EC790A" w:rsidRPr="001B044E" w:rsidRDefault="00EC790A" w:rsidP="00EC790A">
            <w:pPr>
              <w:jc w:val="center"/>
              <w:rPr>
                <w:rFonts w:ascii="Arial Narrow" w:eastAsia="Times New Roman" w:hAnsi="Arial Narrow" w:cs="Times New Roman"/>
                <w:sz w:val="18"/>
                <w:szCs w:val="18"/>
              </w:rPr>
            </w:pPr>
            <w:r w:rsidRPr="001B044E">
              <w:rPr>
                <w:rFonts w:ascii="Arial Narrow" w:eastAsia="Times New Roman" w:hAnsi="Arial Narrow" w:cs="Times New Roman"/>
                <w:sz w:val="18"/>
                <w:szCs w:val="18"/>
              </w:rPr>
              <w:t> </w:t>
            </w:r>
          </w:p>
        </w:tc>
        <w:tc>
          <w:tcPr>
            <w:tcW w:w="1254" w:type="pct"/>
            <w:gridSpan w:val="2"/>
            <w:tcBorders>
              <w:top w:val="single" w:sz="8" w:space="0" w:color="auto"/>
              <w:left w:val="nil"/>
              <w:bottom w:val="nil"/>
              <w:right w:val="nil"/>
            </w:tcBorders>
            <w:shd w:val="clear" w:color="auto" w:fill="auto"/>
            <w:vAlign w:val="center"/>
            <w:hideMark/>
          </w:tcPr>
          <w:p w14:paraId="5D79BF07" w14:textId="77777777" w:rsidR="00EC790A" w:rsidRPr="001B044E" w:rsidRDefault="00EC790A" w:rsidP="00EC790A">
            <w:pPr>
              <w:jc w:val="center"/>
              <w:rPr>
                <w:rFonts w:ascii="Arial Narrow" w:eastAsia="Times New Roman" w:hAnsi="Arial Narrow" w:cs="Times New Roman"/>
                <w:sz w:val="18"/>
                <w:szCs w:val="18"/>
              </w:rPr>
            </w:pPr>
            <w:r w:rsidRPr="001B044E">
              <w:rPr>
                <w:rFonts w:ascii="Arial Narrow" w:eastAsia="Times New Roman" w:hAnsi="Arial Narrow" w:cs="Times New Roman"/>
                <w:sz w:val="18"/>
                <w:szCs w:val="18"/>
              </w:rPr>
              <w:t>Campione</w:t>
            </w:r>
          </w:p>
        </w:tc>
        <w:tc>
          <w:tcPr>
            <w:tcW w:w="1254" w:type="pct"/>
            <w:gridSpan w:val="2"/>
            <w:tcBorders>
              <w:top w:val="single" w:sz="8" w:space="0" w:color="auto"/>
              <w:left w:val="nil"/>
              <w:bottom w:val="nil"/>
              <w:right w:val="nil"/>
            </w:tcBorders>
            <w:shd w:val="clear" w:color="auto" w:fill="auto"/>
            <w:vAlign w:val="center"/>
            <w:hideMark/>
          </w:tcPr>
          <w:p w14:paraId="22A25FA3" w14:textId="77777777" w:rsidR="00EC790A" w:rsidRPr="001B044E" w:rsidRDefault="00EC790A" w:rsidP="00EC790A">
            <w:pPr>
              <w:jc w:val="center"/>
              <w:rPr>
                <w:rFonts w:ascii="Arial Narrow" w:eastAsia="Times New Roman" w:hAnsi="Arial Narrow" w:cs="Times New Roman"/>
                <w:sz w:val="18"/>
                <w:szCs w:val="18"/>
              </w:rPr>
            </w:pPr>
            <w:r w:rsidRPr="001B044E">
              <w:rPr>
                <w:rFonts w:ascii="Arial Narrow" w:eastAsia="Times New Roman" w:hAnsi="Arial Narrow" w:cs="Times New Roman"/>
                <w:sz w:val="18"/>
                <w:szCs w:val="18"/>
              </w:rPr>
              <w:t>Universo</w:t>
            </w:r>
          </w:p>
        </w:tc>
        <w:tc>
          <w:tcPr>
            <w:tcW w:w="1254" w:type="pct"/>
            <w:gridSpan w:val="2"/>
            <w:tcBorders>
              <w:top w:val="single" w:sz="8" w:space="0" w:color="auto"/>
              <w:left w:val="nil"/>
              <w:bottom w:val="nil"/>
              <w:right w:val="nil"/>
            </w:tcBorders>
            <w:shd w:val="clear" w:color="auto" w:fill="auto"/>
            <w:noWrap/>
            <w:vAlign w:val="center"/>
            <w:hideMark/>
          </w:tcPr>
          <w:p w14:paraId="4A3BBFDD" w14:textId="77777777" w:rsidR="00EC790A" w:rsidRPr="001B044E" w:rsidRDefault="00EC790A" w:rsidP="00EC790A">
            <w:pPr>
              <w:jc w:val="center"/>
              <w:rPr>
                <w:rFonts w:ascii="Arial Narrow" w:eastAsia="Times New Roman" w:hAnsi="Arial Narrow" w:cs="Times New Roman"/>
                <w:sz w:val="18"/>
                <w:szCs w:val="18"/>
              </w:rPr>
            </w:pPr>
            <w:r w:rsidRPr="001B044E">
              <w:rPr>
                <w:rFonts w:ascii="Arial Narrow" w:eastAsia="Times New Roman" w:hAnsi="Arial Narrow" w:cs="Times New Roman"/>
                <w:sz w:val="18"/>
                <w:szCs w:val="18"/>
              </w:rPr>
              <w:t>Incidenza %</w:t>
            </w:r>
          </w:p>
        </w:tc>
      </w:tr>
      <w:tr w:rsidR="00EC790A" w:rsidRPr="001B044E" w14:paraId="32B26D03" w14:textId="77777777" w:rsidTr="001B044E">
        <w:trPr>
          <w:trHeight w:val="20"/>
        </w:trPr>
        <w:tc>
          <w:tcPr>
            <w:tcW w:w="1238" w:type="pct"/>
            <w:tcBorders>
              <w:top w:val="nil"/>
              <w:left w:val="nil"/>
              <w:bottom w:val="single" w:sz="8" w:space="0" w:color="auto"/>
              <w:right w:val="nil"/>
            </w:tcBorders>
            <w:shd w:val="clear" w:color="auto" w:fill="auto"/>
            <w:vAlign w:val="center"/>
            <w:hideMark/>
          </w:tcPr>
          <w:p w14:paraId="33FC46BD" w14:textId="77777777" w:rsidR="00EC790A" w:rsidRPr="001B044E" w:rsidRDefault="00EC790A" w:rsidP="00EC790A">
            <w:pPr>
              <w:jc w:val="center"/>
              <w:rPr>
                <w:rFonts w:ascii="Arial Narrow" w:eastAsia="Times New Roman" w:hAnsi="Arial Narrow" w:cs="Times New Roman"/>
                <w:sz w:val="18"/>
                <w:szCs w:val="18"/>
              </w:rPr>
            </w:pPr>
            <w:r w:rsidRPr="001B044E">
              <w:rPr>
                <w:rFonts w:ascii="Arial Narrow" w:eastAsia="Times New Roman" w:hAnsi="Arial Narrow" w:cs="Times New Roman"/>
                <w:sz w:val="18"/>
                <w:szCs w:val="18"/>
              </w:rPr>
              <w:t> </w:t>
            </w:r>
          </w:p>
        </w:tc>
        <w:tc>
          <w:tcPr>
            <w:tcW w:w="588" w:type="pct"/>
            <w:tcBorders>
              <w:top w:val="nil"/>
              <w:left w:val="nil"/>
              <w:bottom w:val="single" w:sz="8" w:space="0" w:color="auto"/>
              <w:right w:val="nil"/>
            </w:tcBorders>
            <w:shd w:val="clear" w:color="auto" w:fill="auto"/>
            <w:vAlign w:val="center"/>
            <w:hideMark/>
          </w:tcPr>
          <w:p w14:paraId="7032825F"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Strutture</w:t>
            </w:r>
          </w:p>
        </w:tc>
        <w:tc>
          <w:tcPr>
            <w:tcW w:w="666" w:type="pct"/>
            <w:tcBorders>
              <w:top w:val="nil"/>
              <w:left w:val="nil"/>
              <w:bottom w:val="single" w:sz="8" w:space="0" w:color="auto"/>
              <w:right w:val="nil"/>
            </w:tcBorders>
            <w:shd w:val="clear" w:color="auto" w:fill="auto"/>
            <w:vAlign w:val="center"/>
            <w:hideMark/>
          </w:tcPr>
          <w:p w14:paraId="5CC05BD0"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Posti letto</w:t>
            </w:r>
          </w:p>
        </w:tc>
        <w:tc>
          <w:tcPr>
            <w:tcW w:w="588" w:type="pct"/>
            <w:tcBorders>
              <w:top w:val="nil"/>
              <w:left w:val="nil"/>
              <w:bottom w:val="single" w:sz="8" w:space="0" w:color="auto"/>
              <w:right w:val="nil"/>
            </w:tcBorders>
            <w:shd w:val="clear" w:color="auto" w:fill="auto"/>
            <w:vAlign w:val="center"/>
            <w:hideMark/>
          </w:tcPr>
          <w:p w14:paraId="5A8F2A94"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Strutture</w:t>
            </w:r>
          </w:p>
        </w:tc>
        <w:tc>
          <w:tcPr>
            <w:tcW w:w="666" w:type="pct"/>
            <w:tcBorders>
              <w:top w:val="nil"/>
              <w:left w:val="nil"/>
              <w:bottom w:val="single" w:sz="8" w:space="0" w:color="auto"/>
              <w:right w:val="nil"/>
            </w:tcBorders>
            <w:shd w:val="clear" w:color="auto" w:fill="auto"/>
            <w:vAlign w:val="center"/>
            <w:hideMark/>
          </w:tcPr>
          <w:p w14:paraId="41615ECF"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Posti letto</w:t>
            </w:r>
          </w:p>
        </w:tc>
        <w:tc>
          <w:tcPr>
            <w:tcW w:w="588" w:type="pct"/>
            <w:tcBorders>
              <w:top w:val="nil"/>
              <w:left w:val="nil"/>
              <w:bottom w:val="single" w:sz="8" w:space="0" w:color="auto"/>
              <w:right w:val="nil"/>
            </w:tcBorders>
            <w:shd w:val="clear" w:color="auto" w:fill="auto"/>
            <w:noWrap/>
            <w:vAlign w:val="center"/>
            <w:hideMark/>
          </w:tcPr>
          <w:p w14:paraId="4F7F0C61"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Strutture</w:t>
            </w:r>
          </w:p>
        </w:tc>
        <w:tc>
          <w:tcPr>
            <w:tcW w:w="666" w:type="pct"/>
            <w:tcBorders>
              <w:top w:val="nil"/>
              <w:left w:val="nil"/>
              <w:bottom w:val="single" w:sz="8" w:space="0" w:color="auto"/>
              <w:right w:val="nil"/>
            </w:tcBorders>
            <w:shd w:val="clear" w:color="auto" w:fill="auto"/>
            <w:noWrap/>
            <w:vAlign w:val="center"/>
            <w:hideMark/>
          </w:tcPr>
          <w:p w14:paraId="580AD5A1"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Posti letto</w:t>
            </w:r>
          </w:p>
        </w:tc>
      </w:tr>
      <w:tr w:rsidR="00EC790A" w:rsidRPr="001B044E" w14:paraId="289D92F8" w14:textId="77777777" w:rsidTr="001B044E">
        <w:trPr>
          <w:trHeight w:val="20"/>
        </w:trPr>
        <w:tc>
          <w:tcPr>
            <w:tcW w:w="1238" w:type="pct"/>
            <w:tcBorders>
              <w:top w:val="nil"/>
              <w:left w:val="nil"/>
              <w:bottom w:val="nil"/>
              <w:right w:val="nil"/>
            </w:tcBorders>
            <w:shd w:val="clear" w:color="auto" w:fill="auto"/>
            <w:noWrap/>
            <w:vAlign w:val="center"/>
            <w:hideMark/>
          </w:tcPr>
          <w:p w14:paraId="020CD8AC"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Arezzo</w:t>
            </w:r>
          </w:p>
        </w:tc>
        <w:tc>
          <w:tcPr>
            <w:tcW w:w="588" w:type="pct"/>
            <w:tcBorders>
              <w:top w:val="nil"/>
              <w:left w:val="nil"/>
              <w:bottom w:val="nil"/>
              <w:right w:val="nil"/>
            </w:tcBorders>
            <w:shd w:val="clear" w:color="000000" w:fill="D8E4BC"/>
            <w:noWrap/>
            <w:vAlign w:val="center"/>
            <w:hideMark/>
          </w:tcPr>
          <w:p w14:paraId="41E0E406"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w:t>
            </w:r>
          </w:p>
        </w:tc>
        <w:tc>
          <w:tcPr>
            <w:tcW w:w="666" w:type="pct"/>
            <w:tcBorders>
              <w:top w:val="nil"/>
              <w:left w:val="nil"/>
              <w:bottom w:val="nil"/>
              <w:right w:val="nil"/>
            </w:tcBorders>
            <w:shd w:val="clear" w:color="000000" w:fill="D8E4BC"/>
            <w:noWrap/>
            <w:vAlign w:val="center"/>
            <w:hideMark/>
          </w:tcPr>
          <w:p w14:paraId="6B989418"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320</w:t>
            </w:r>
          </w:p>
        </w:tc>
        <w:tc>
          <w:tcPr>
            <w:tcW w:w="588" w:type="pct"/>
            <w:tcBorders>
              <w:top w:val="nil"/>
              <w:left w:val="nil"/>
              <w:bottom w:val="nil"/>
              <w:right w:val="nil"/>
            </w:tcBorders>
            <w:shd w:val="clear" w:color="auto" w:fill="auto"/>
            <w:noWrap/>
            <w:vAlign w:val="center"/>
            <w:hideMark/>
          </w:tcPr>
          <w:p w14:paraId="57764C5C"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15</w:t>
            </w:r>
          </w:p>
        </w:tc>
        <w:tc>
          <w:tcPr>
            <w:tcW w:w="666" w:type="pct"/>
            <w:tcBorders>
              <w:top w:val="nil"/>
              <w:left w:val="nil"/>
              <w:bottom w:val="nil"/>
              <w:right w:val="nil"/>
            </w:tcBorders>
            <w:shd w:val="clear" w:color="auto" w:fill="auto"/>
            <w:noWrap/>
            <w:vAlign w:val="center"/>
            <w:hideMark/>
          </w:tcPr>
          <w:p w14:paraId="705C5822"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3.016</w:t>
            </w:r>
          </w:p>
        </w:tc>
        <w:tc>
          <w:tcPr>
            <w:tcW w:w="588" w:type="pct"/>
            <w:tcBorders>
              <w:top w:val="nil"/>
              <w:left w:val="nil"/>
              <w:bottom w:val="nil"/>
              <w:right w:val="nil"/>
            </w:tcBorders>
            <w:shd w:val="clear" w:color="auto" w:fill="auto"/>
            <w:noWrap/>
            <w:vAlign w:val="center"/>
            <w:hideMark/>
          </w:tcPr>
          <w:p w14:paraId="21AE1414"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13,3%</w:t>
            </w:r>
          </w:p>
        </w:tc>
        <w:tc>
          <w:tcPr>
            <w:tcW w:w="666" w:type="pct"/>
            <w:tcBorders>
              <w:top w:val="nil"/>
              <w:left w:val="nil"/>
              <w:bottom w:val="nil"/>
              <w:right w:val="nil"/>
            </w:tcBorders>
            <w:shd w:val="clear" w:color="auto" w:fill="auto"/>
            <w:noWrap/>
            <w:vAlign w:val="center"/>
            <w:hideMark/>
          </w:tcPr>
          <w:p w14:paraId="2E450355"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10,6%</w:t>
            </w:r>
          </w:p>
        </w:tc>
      </w:tr>
      <w:tr w:rsidR="00EC790A" w:rsidRPr="001B044E" w14:paraId="3733CF65" w14:textId="77777777" w:rsidTr="001B044E">
        <w:trPr>
          <w:trHeight w:val="20"/>
        </w:trPr>
        <w:tc>
          <w:tcPr>
            <w:tcW w:w="1238" w:type="pct"/>
            <w:tcBorders>
              <w:top w:val="nil"/>
              <w:left w:val="nil"/>
              <w:bottom w:val="nil"/>
              <w:right w:val="nil"/>
            </w:tcBorders>
            <w:shd w:val="clear" w:color="auto" w:fill="auto"/>
            <w:noWrap/>
            <w:vAlign w:val="center"/>
            <w:hideMark/>
          </w:tcPr>
          <w:p w14:paraId="401C0BAF"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Firenze</w:t>
            </w:r>
          </w:p>
        </w:tc>
        <w:tc>
          <w:tcPr>
            <w:tcW w:w="588" w:type="pct"/>
            <w:tcBorders>
              <w:top w:val="nil"/>
              <w:left w:val="nil"/>
              <w:bottom w:val="nil"/>
              <w:right w:val="nil"/>
            </w:tcBorders>
            <w:shd w:val="clear" w:color="000000" w:fill="D8E4BC"/>
            <w:noWrap/>
            <w:vAlign w:val="center"/>
            <w:hideMark/>
          </w:tcPr>
          <w:p w14:paraId="0EF91F61"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5</w:t>
            </w:r>
          </w:p>
        </w:tc>
        <w:tc>
          <w:tcPr>
            <w:tcW w:w="666" w:type="pct"/>
            <w:tcBorders>
              <w:top w:val="nil"/>
              <w:left w:val="nil"/>
              <w:bottom w:val="nil"/>
              <w:right w:val="nil"/>
            </w:tcBorders>
            <w:shd w:val="clear" w:color="000000" w:fill="D8E4BC"/>
            <w:noWrap/>
            <w:vAlign w:val="center"/>
            <w:hideMark/>
          </w:tcPr>
          <w:p w14:paraId="063587CF"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2.307</w:t>
            </w:r>
          </w:p>
        </w:tc>
        <w:tc>
          <w:tcPr>
            <w:tcW w:w="588" w:type="pct"/>
            <w:tcBorders>
              <w:top w:val="nil"/>
              <w:left w:val="nil"/>
              <w:bottom w:val="nil"/>
              <w:right w:val="nil"/>
            </w:tcBorders>
            <w:shd w:val="clear" w:color="auto" w:fill="auto"/>
            <w:noWrap/>
            <w:vAlign w:val="center"/>
            <w:hideMark/>
          </w:tcPr>
          <w:p w14:paraId="4EA7D32F"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20</w:t>
            </w:r>
          </w:p>
        </w:tc>
        <w:tc>
          <w:tcPr>
            <w:tcW w:w="666" w:type="pct"/>
            <w:tcBorders>
              <w:top w:val="nil"/>
              <w:left w:val="nil"/>
              <w:bottom w:val="nil"/>
              <w:right w:val="nil"/>
            </w:tcBorders>
            <w:shd w:val="clear" w:color="auto" w:fill="auto"/>
            <w:noWrap/>
            <w:vAlign w:val="center"/>
            <w:hideMark/>
          </w:tcPr>
          <w:p w14:paraId="175D9AC0"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10.920</w:t>
            </w:r>
          </w:p>
        </w:tc>
        <w:tc>
          <w:tcPr>
            <w:tcW w:w="588" w:type="pct"/>
            <w:tcBorders>
              <w:top w:val="nil"/>
              <w:left w:val="nil"/>
              <w:bottom w:val="nil"/>
              <w:right w:val="nil"/>
            </w:tcBorders>
            <w:shd w:val="clear" w:color="auto" w:fill="auto"/>
            <w:noWrap/>
            <w:vAlign w:val="center"/>
            <w:hideMark/>
          </w:tcPr>
          <w:p w14:paraId="7D068812"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25,0%</w:t>
            </w:r>
          </w:p>
        </w:tc>
        <w:tc>
          <w:tcPr>
            <w:tcW w:w="666" w:type="pct"/>
            <w:tcBorders>
              <w:top w:val="nil"/>
              <w:left w:val="nil"/>
              <w:bottom w:val="nil"/>
              <w:right w:val="nil"/>
            </w:tcBorders>
            <w:shd w:val="clear" w:color="auto" w:fill="auto"/>
            <w:noWrap/>
            <w:vAlign w:val="center"/>
            <w:hideMark/>
          </w:tcPr>
          <w:p w14:paraId="7E9F0FF3"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21,1%</w:t>
            </w:r>
          </w:p>
        </w:tc>
      </w:tr>
      <w:tr w:rsidR="00EC790A" w:rsidRPr="001B044E" w14:paraId="3422C1B6" w14:textId="77777777" w:rsidTr="001B044E">
        <w:trPr>
          <w:trHeight w:val="20"/>
        </w:trPr>
        <w:tc>
          <w:tcPr>
            <w:tcW w:w="1238" w:type="pct"/>
            <w:tcBorders>
              <w:top w:val="nil"/>
              <w:left w:val="nil"/>
              <w:bottom w:val="nil"/>
              <w:right w:val="nil"/>
            </w:tcBorders>
            <w:shd w:val="clear" w:color="auto" w:fill="auto"/>
            <w:noWrap/>
            <w:vAlign w:val="center"/>
            <w:hideMark/>
          </w:tcPr>
          <w:p w14:paraId="59A821BE"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Grosseto</w:t>
            </w:r>
          </w:p>
        </w:tc>
        <w:tc>
          <w:tcPr>
            <w:tcW w:w="588" w:type="pct"/>
            <w:tcBorders>
              <w:top w:val="nil"/>
              <w:left w:val="nil"/>
              <w:bottom w:val="nil"/>
              <w:right w:val="nil"/>
            </w:tcBorders>
            <w:shd w:val="clear" w:color="000000" w:fill="D8E4BC"/>
            <w:noWrap/>
            <w:vAlign w:val="center"/>
            <w:hideMark/>
          </w:tcPr>
          <w:p w14:paraId="22235DE0"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7</w:t>
            </w:r>
          </w:p>
        </w:tc>
        <w:tc>
          <w:tcPr>
            <w:tcW w:w="666" w:type="pct"/>
            <w:tcBorders>
              <w:top w:val="nil"/>
              <w:left w:val="nil"/>
              <w:bottom w:val="nil"/>
              <w:right w:val="nil"/>
            </w:tcBorders>
            <w:shd w:val="clear" w:color="000000" w:fill="D8E4BC"/>
            <w:noWrap/>
            <w:vAlign w:val="center"/>
            <w:hideMark/>
          </w:tcPr>
          <w:p w14:paraId="41D52AC6"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10.440</w:t>
            </w:r>
          </w:p>
        </w:tc>
        <w:tc>
          <w:tcPr>
            <w:tcW w:w="588" w:type="pct"/>
            <w:tcBorders>
              <w:top w:val="nil"/>
              <w:left w:val="nil"/>
              <w:bottom w:val="nil"/>
              <w:right w:val="nil"/>
            </w:tcBorders>
            <w:shd w:val="clear" w:color="auto" w:fill="auto"/>
            <w:noWrap/>
            <w:vAlign w:val="center"/>
            <w:hideMark/>
          </w:tcPr>
          <w:p w14:paraId="29D6C3F3"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51</w:t>
            </w:r>
          </w:p>
        </w:tc>
        <w:tc>
          <w:tcPr>
            <w:tcW w:w="666" w:type="pct"/>
            <w:tcBorders>
              <w:top w:val="nil"/>
              <w:left w:val="nil"/>
              <w:bottom w:val="nil"/>
              <w:right w:val="nil"/>
            </w:tcBorders>
            <w:shd w:val="clear" w:color="auto" w:fill="auto"/>
            <w:noWrap/>
            <w:vAlign w:val="center"/>
            <w:hideMark/>
          </w:tcPr>
          <w:p w14:paraId="2F2808D6"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52.478</w:t>
            </w:r>
          </w:p>
        </w:tc>
        <w:tc>
          <w:tcPr>
            <w:tcW w:w="588" w:type="pct"/>
            <w:tcBorders>
              <w:top w:val="nil"/>
              <w:left w:val="nil"/>
              <w:bottom w:val="nil"/>
              <w:right w:val="nil"/>
            </w:tcBorders>
            <w:shd w:val="clear" w:color="auto" w:fill="auto"/>
            <w:noWrap/>
            <w:vAlign w:val="center"/>
            <w:hideMark/>
          </w:tcPr>
          <w:p w14:paraId="2DE7BF21"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13,7%</w:t>
            </w:r>
          </w:p>
        </w:tc>
        <w:tc>
          <w:tcPr>
            <w:tcW w:w="666" w:type="pct"/>
            <w:tcBorders>
              <w:top w:val="nil"/>
              <w:left w:val="nil"/>
              <w:bottom w:val="nil"/>
              <w:right w:val="nil"/>
            </w:tcBorders>
            <w:shd w:val="clear" w:color="auto" w:fill="auto"/>
            <w:noWrap/>
            <w:vAlign w:val="center"/>
            <w:hideMark/>
          </w:tcPr>
          <w:p w14:paraId="2E9C101C"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19,9%</w:t>
            </w:r>
          </w:p>
        </w:tc>
      </w:tr>
      <w:tr w:rsidR="00EC790A" w:rsidRPr="001B044E" w14:paraId="14459747" w14:textId="77777777" w:rsidTr="001B044E">
        <w:trPr>
          <w:trHeight w:val="20"/>
        </w:trPr>
        <w:tc>
          <w:tcPr>
            <w:tcW w:w="1238" w:type="pct"/>
            <w:tcBorders>
              <w:top w:val="nil"/>
              <w:left w:val="nil"/>
              <w:bottom w:val="nil"/>
              <w:right w:val="nil"/>
            </w:tcBorders>
            <w:shd w:val="clear" w:color="auto" w:fill="auto"/>
            <w:noWrap/>
            <w:vAlign w:val="center"/>
            <w:hideMark/>
          </w:tcPr>
          <w:p w14:paraId="346E3E28"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Livorno</w:t>
            </w:r>
          </w:p>
        </w:tc>
        <w:tc>
          <w:tcPr>
            <w:tcW w:w="588" w:type="pct"/>
            <w:tcBorders>
              <w:top w:val="nil"/>
              <w:left w:val="nil"/>
              <w:bottom w:val="nil"/>
              <w:right w:val="nil"/>
            </w:tcBorders>
            <w:shd w:val="clear" w:color="000000" w:fill="D8E4BC"/>
            <w:noWrap/>
            <w:vAlign w:val="center"/>
            <w:hideMark/>
          </w:tcPr>
          <w:p w14:paraId="0453529C"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13</w:t>
            </w:r>
          </w:p>
        </w:tc>
        <w:tc>
          <w:tcPr>
            <w:tcW w:w="666" w:type="pct"/>
            <w:tcBorders>
              <w:top w:val="nil"/>
              <w:left w:val="nil"/>
              <w:bottom w:val="nil"/>
              <w:right w:val="nil"/>
            </w:tcBorders>
            <w:shd w:val="clear" w:color="000000" w:fill="D8E4BC"/>
            <w:noWrap/>
            <w:vAlign w:val="center"/>
            <w:hideMark/>
          </w:tcPr>
          <w:p w14:paraId="0B94E87E"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16.106</w:t>
            </w:r>
          </w:p>
        </w:tc>
        <w:tc>
          <w:tcPr>
            <w:tcW w:w="588" w:type="pct"/>
            <w:tcBorders>
              <w:top w:val="nil"/>
              <w:left w:val="nil"/>
              <w:bottom w:val="nil"/>
              <w:right w:val="nil"/>
            </w:tcBorders>
            <w:shd w:val="clear" w:color="auto" w:fill="auto"/>
            <w:noWrap/>
            <w:vAlign w:val="center"/>
            <w:hideMark/>
          </w:tcPr>
          <w:p w14:paraId="6AA7D7A1"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75</w:t>
            </w:r>
          </w:p>
        </w:tc>
        <w:tc>
          <w:tcPr>
            <w:tcW w:w="666" w:type="pct"/>
            <w:tcBorders>
              <w:top w:val="nil"/>
              <w:left w:val="nil"/>
              <w:bottom w:val="nil"/>
              <w:right w:val="nil"/>
            </w:tcBorders>
            <w:shd w:val="clear" w:color="auto" w:fill="auto"/>
            <w:noWrap/>
            <w:vAlign w:val="center"/>
            <w:hideMark/>
          </w:tcPr>
          <w:p w14:paraId="44081B9F"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62.750</w:t>
            </w:r>
          </w:p>
        </w:tc>
        <w:tc>
          <w:tcPr>
            <w:tcW w:w="588" w:type="pct"/>
            <w:tcBorders>
              <w:top w:val="nil"/>
              <w:left w:val="nil"/>
              <w:bottom w:val="nil"/>
              <w:right w:val="nil"/>
            </w:tcBorders>
            <w:shd w:val="clear" w:color="auto" w:fill="auto"/>
            <w:noWrap/>
            <w:vAlign w:val="center"/>
            <w:hideMark/>
          </w:tcPr>
          <w:p w14:paraId="06187E54"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17,3%</w:t>
            </w:r>
          </w:p>
        </w:tc>
        <w:tc>
          <w:tcPr>
            <w:tcW w:w="666" w:type="pct"/>
            <w:tcBorders>
              <w:top w:val="nil"/>
              <w:left w:val="nil"/>
              <w:bottom w:val="nil"/>
              <w:right w:val="nil"/>
            </w:tcBorders>
            <w:shd w:val="clear" w:color="auto" w:fill="auto"/>
            <w:noWrap/>
            <w:vAlign w:val="center"/>
            <w:hideMark/>
          </w:tcPr>
          <w:p w14:paraId="74B30EA4"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25,7%</w:t>
            </w:r>
          </w:p>
        </w:tc>
      </w:tr>
      <w:tr w:rsidR="00EC790A" w:rsidRPr="001B044E" w14:paraId="32019325" w14:textId="77777777" w:rsidTr="001B044E">
        <w:trPr>
          <w:trHeight w:val="20"/>
        </w:trPr>
        <w:tc>
          <w:tcPr>
            <w:tcW w:w="1238" w:type="pct"/>
            <w:tcBorders>
              <w:top w:val="nil"/>
              <w:left w:val="nil"/>
              <w:bottom w:val="nil"/>
              <w:right w:val="nil"/>
            </w:tcBorders>
            <w:shd w:val="clear" w:color="auto" w:fill="auto"/>
            <w:noWrap/>
            <w:vAlign w:val="center"/>
            <w:hideMark/>
          </w:tcPr>
          <w:p w14:paraId="4CC92F45"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ELBA</w:t>
            </w:r>
          </w:p>
        </w:tc>
        <w:tc>
          <w:tcPr>
            <w:tcW w:w="588" w:type="pct"/>
            <w:tcBorders>
              <w:top w:val="nil"/>
              <w:left w:val="nil"/>
              <w:bottom w:val="nil"/>
              <w:right w:val="nil"/>
            </w:tcBorders>
            <w:shd w:val="clear" w:color="000000" w:fill="D8E4BC"/>
            <w:noWrap/>
            <w:vAlign w:val="center"/>
            <w:hideMark/>
          </w:tcPr>
          <w:p w14:paraId="5D2757E9"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7</w:t>
            </w:r>
          </w:p>
        </w:tc>
        <w:tc>
          <w:tcPr>
            <w:tcW w:w="666" w:type="pct"/>
            <w:tcBorders>
              <w:top w:val="nil"/>
              <w:left w:val="nil"/>
              <w:bottom w:val="nil"/>
              <w:right w:val="nil"/>
            </w:tcBorders>
            <w:shd w:val="clear" w:color="000000" w:fill="D8E4BC"/>
            <w:noWrap/>
            <w:vAlign w:val="center"/>
            <w:hideMark/>
          </w:tcPr>
          <w:p w14:paraId="49646A6C"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3.450</w:t>
            </w:r>
          </w:p>
        </w:tc>
        <w:tc>
          <w:tcPr>
            <w:tcW w:w="588" w:type="pct"/>
            <w:tcBorders>
              <w:top w:val="nil"/>
              <w:left w:val="nil"/>
              <w:bottom w:val="nil"/>
              <w:right w:val="nil"/>
            </w:tcBorders>
            <w:shd w:val="clear" w:color="auto" w:fill="auto"/>
            <w:noWrap/>
            <w:vAlign w:val="center"/>
            <w:hideMark/>
          </w:tcPr>
          <w:p w14:paraId="2C5396D7"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29</w:t>
            </w:r>
          </w:p>
        </w:tc>
        <w:tc>
          <w:tcPr>
            <w:tcW w:w="666" w:type="pct"/>
            <w:tcBorders>
              <w:top w:val="nil"/>
              <w:left w:val="nil"/>
              <w:bottom w:val="nil"/>
              <w:right w:val="nil"/>
            </w:tcBorders>
            <w:shd w:val="clear" w:color="auto" w:fill="auto"/>
            <w:noWrap/>
            <w:vAlign w:val="center"/>
            <w:hideMark/>
          </w:tcPr>
          <w:p w14:paraId="1DCE7546"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13.021</w:t>
            </w:r>
          </w:p>
        </w:tc>
        <w:tc>
          <w:tcPr>
            <w:tcW w:w="588" w:type="pct"/>
            <w:tcBorders>
              <w:top w:val="nil"/>
              <w:left w:val="nil"/>
              <w:bottom w:val="nil"/>
              <w:right w:val="nil"/>
            </w:tcBorders>
            <w:shd w:val="clear" w:color="auto" w:fill="auto"/>
            <w:noWrap/>
            <w:vAlign w:val="center"/>
            <w:hideMark/>
          </w:tcPr>
          <w:p w14:paraId="1475B6A1"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24,1%</w:t>
            </w:r>
          </w:p>
        </w:tc>
        <w:tc>
          <w:tcPr>
            <w:tcW w:w="666" w:type="pct"/>
            <w:tcBorders>
              <w:top w:val="nil"/>
              <w:left w:val="nil"/>
              <w:bottom w:val="nil"/>
              <w:right w:val="nil"/>
            </w:tcBorders>
            <w:shd w:val="clear" w:color="auto" w:fill="auto"/>
            <w:noWrap/>
            <w:vAlign w:val="center"/>
            <w:hideMark/>
          </w:tcPr>
          <w:p w14:paraId="02EBFACF"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26,5%</w:t>
            </w:r>
          </w:p>
        </w:tc>
      </w:tr>
      <w:tr w:rsidR="00EC790A" w:rsidRPr="001B044E" w14:paraId="282E8942" w14:textId="77777777" w:rsidTr="001B044E">
        <w:trPr>
          <w:trHeight w:val="20"/>
        </w:trPr>
        <w:tc>
          <w:tcPr>
            <w:tcW w:w="1238" w:type="pct"/>
            <w:tcBorders>
              <w:top w:val="nil"/>
              <w:left w:val="nil"/>
              <w:bottom w:val="nil"/>
              <w:right w:val="nil"/>
            </w:tcBorders>
            <w:shd w:val="clear" w:color="auto" w:fill="auto"/>
            <w:noWrap/>
            <w:vAlign w:val="center"/>
            <w:hideMark/>
          </w:tcPr>
          <w:p w14:paraId="0176B1EA"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Lucca</w:t>
            </w:r>
          </w:p>
        </w:tc>
        <w:tc>
          <w:tcPr>
            <w:tcW w:w="588" w:type="pct"/>
            <w:tcBorders>
              <w:top w:val="nil"/>
              <w:left w:val="nil"/>
              <w:bottom w:val="nil"/>
              <w:right w:val="nil"/>
            </w:tcBorders>
            <w:shd w:val="clear" w:color="000000" w:fill="D8E4BC"/>
            <w:noWrap/>
            <w:vAlign w:val="center"/>
            <w:hideMark/>
          </w:tcPr>
          <w:p w14:paraId="4193FC5B"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w:t>
            </w:r>
          </w:p>
        </w:tc>
        <w:tc>
          <w:tcPr>
            <w:tcW w:w="666" w:type="pct"/>
            <w:tcBorders>
              <w:top w:val="nil"/>
              <w:left w:val="nil"/>
              <w:bottom w:val="nil"/>
              <w:right w:val="nil"/>
            </w:tcBorders>
            <w:shd w:val="clear" w:color="000000" w:fill="D8E4BC"/>
            <w:noWrap/>
            <w:vAlign w:val="center"/>
            <w:hideMark/>
          </w:tcPr>
          <w:p w14:paraId="6544F830"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150</w:t>
            </w:r>
          </w:p>
        </w:tc>
        <w:tc>
          <w:tcPr>
            <w:tcW w:w="588" w:type="pct"/>
            <w:tcBorders>
              <w:top w:val="nil"/>
              <w:left w:val="nil"/>
              <w:bottom w:val="nil"/>
              <w:right w:val="nil"/>
            </w:tcBorders>
            <w:shd w:val="clear" w:color="auto" w:fill="auto"/>
            <w:noWrap/>
            <w:vAlign w:val="center"/>
            <w:hideMark/>
          </w:tcPr>
          <w:p w14:paraId="21F23988"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16</w:t>
            </w:r>
          </w:p>
        </w:tc>
        <w:tc>
          <w:tcPr>
            <w:tcW w:w="666" w:type="pct"/>
            <w:tcBorders>
              <w:top w:val="nil"/>
              <w:left w:val="nil"/>
              <w:bottom w:val="nil"/>
              <w:right w:val="nil"/>
            </w:tcBorders>
            <w:shd w:val="clear" w:color="auto" w:fill="auto"/>
            <w:noWrap/>
            <w:vAlign w:val="center"/>
            <w:hideMark/>
          </w:tcPr>
          <w:p w14:paraId="6495E60E"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8.532</w:t>
            </w:r>
          </w:p>
        </w:tc>
        <w:tc>
          <w:tcPr>
            <w:tcW w:w="588" w:type="pct"/>
            <w:tcBorders>
              <w:top w:val="nil"/>
              <w:left w:val="nil"/>
              <w:bottom w:val="nil"/>
              <w:right w:val="nil"/>
            </w:tcBorders>
            <w:shd w:val="clear" w:color="auto" w:fill="auto"/>
            <w:noWrap/>
            <w:vAlign w:val="center"/>
            <w:hideMark/>
          </w:tcPr>
          <w:p w14:paraId="65A78425"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6,3%</w:t>
            </w:r>
          </w:p>
        </w:tc>
        <w:tc>
          <w:tcPr>
            <w:tcW w:w="666" w:type="pct"/>
            <w:tcBorders>
              <w:top w:val="nil"/>
              <w:left w:val="nil"/>
              <w:bottom w:val="nil"/>
              <w:right w:val="nil"/>
            </w:tcBorders>
            <w:shd w:val="clear" w:color="auto" w:fill="auto"/>
            <w:noWrap/>
            <w:vAlign w:val="center"/>
            <w:hideMark/>
          </w:tcPr>
          <w:p w14:paraId="66857035"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1,8%</w:t>
            </w:r>
          </w:p>
        </w:tc>
      </w:tr>
      <w:tr w:rsidR="00EC790A" w:rsidRPr="001B044E" w14:paraId="24FD3DE2" w14:textId="77777777" w:rsidTr="001B044E">
        <w:trPr>
          <w:trHeight w:val="20"/>
        </w:trPr>
        <w:tc>
          <w:tcPr>
            <w:tcW w:w="1238" w:type="pct"/>
            <w:tcBorders>
              <w:top w:val="nil"/>
              <w:left w:val="nil"/>
              <w:bottom w:val="nil"/>
              <w:right w:val="nil"/>
            </w:tcBorders>
            <w:shd w:val="clear" w:color="auto" w:fill="auto"/>
            <w:noWrap/>
            <w:vAlign w:val="center"/>
            <w:hideMark/>
          </w:tcPr>
          <w:p w14:paraId="1C5460F3"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Massa-Carrara</w:t>
            </w:r>
          </w:p>
        </w:tc>
        <w:tc>
          <w:tcPr>
            <w:tcW w:w="588" w:type="pct"/>
            <w:tcBorders>
              <w:top w:val="nil"/>
              <w:left w:val="nil"/>
              <w:bottom w:val="nil"/>
              <w:right w:val="nil"/>
            </w:tcBorders>
            <w:shd w:val="clear" w:color="000000" w:fill="D8E4BC"/>
            <w:noWrap/>
            <w:vAlign w:val="center"/>
            <w:hideMark/>
          </w:tcPr>
          <w:p w14:paraId="6C18180D"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6</w:t>
            </w:r>
          </w:p>
        </w:tc>
        <w:tc>
          <w:tcPr>
            <w:tcW w:w="666" w:type="pct"/>
            <w:tcBorders>
              <w:top w:val="nil"/>
              <w:left w:val="nil"/>
              <w:bottom w:val="nil"/>
              <w:right w:val="nil"/>
            </w:tcBorders>
            <w:shd w:val="clear" w:color="000000" w:fill="D8E4BC"/>
            <w:noWrap/>
            <w:vAlign w:val="center"/>
            <w:hideMark/>
          </w:tcPr>
          <w:p w14:paraId="735F9964"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1.862</w:t>
            </w:r>
          </w:p>
        </w:tc>
        <w:tc>
          <w:tcPr>
            <w:tcW w:w="588" w:type="pct"/>
            <w:tcBorders>
              <w:top w:val="nil"/>
              <w:left w:val="nil"/>
              <w:bottom w:val="nil"/>
              <w:right w:val="nil"/>
            </w:tcBorders>
            <w:shd w:val="clear" w:color="auto" w:fill="auto"/>
            <w:noWrap/>
            <w:vAlign w:val="center"/>
            <w:hideMark/>
          </w:tcPr>
          <w:p w14:paraId="358C761C"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38</w:t>
            </w:r>
          </w:p>
        </w:tc>
        <w:tc>
          <w:tcPr>
            <w:tcW w:w="666" w:type="pct"/>
            <w:tcBorders>
              <w:top w:val="nil"/>
              <w:left w:val="nil"/>
              <w:bottom w:val="nil"/>
              <w:right w:val="nil"/>
            </w:tcBorders>
            <w:shd w:val="clear" w:color="auto" w:fill="auto"/>
            <w:noWrap/>
            <w:vAlign w:val="center"/>
            <w:hideMark/>
          </w:tcPr>
          <w:p w14:paraId="689BCF7C"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22.815</w:t>
            </w:r>
          </w:p>
        </w:tc>
        <w:tc>
          <w:tcPr>
            <w:tcW w:w="588" w:type="pct"/>
            <w:tcBorders>
              <w:top w:val="nil"/>
              <w:left w:val="nil"/>
              <w:bottom w:val="nil"/>
              <w:right w:val="nil"/>
            </w:tcBorders>
            <w:shd w:val="clear" w:color="auto" w:fill="auto"/>
            <w:noWrap/>
            <w:vAlign w:val="center"/>
            <w:hideMark/>
          </w:tcPr>
          <w:p w14:paraId="3C73B48B"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15,8%</w:t>
            </w:r>
          </w:p>
        </w:tc>
        <w:tc>
          <w:tcPr>
            <w:tcW w:w="666" w:type="pct"/>
            <w:tcBorders>
              <w:top w:val="nil"/>
              <w:left w:val="nil"/>
              <w:bottom w:val="nil"/>
              <w:right w:val="nil"/>
            </w:tcBorders>
            <w:shd w:val="clear" w:color="auto" w:fill="auto"/>
            <w:noWrap/>
            <w:vAlign w:val="center"/>
            <w:hideMark/>
          </w:tcPr>
          <w:p w14:paraId="3DE212EF"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8,2%</w:t>
            </w:r>
          </w:p>
        </w:tc>
      </w:tr>
      <w:tr w:rsidR="00EC790A" w:rsidRPr="001B044E" w14:paraId="6F74BC8B" w14:textId="77777777" w:rsidTr="001B044E">
        <w:trPr>
          <w:trHeight w:val="20"/>
        </w:trPr>
        <w:tc>
          <w:tcPr>
            <w:tcW w:w="1238" w:type="pct"/>
            <w:tcBorders>
              <w:top w:val="nil"/>
              <w:left w:val="nil"/>
              <w:bottom w:val="nil"/>
              <w:right w:val="nil"/>
            </w:tcBorders>
            <w:shd w:val="clear" w:color="auto" w:fill="auto"/>
            <w:noWrap/>
            <w:vAlign w:val="center"/>
            <w:hideMark/>
          </w:tcPr>
          <w:p w14:paraId="223BBF86"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lastRenderedPageBreak/>
              <w:t>Pisa</w:t>
            </w:r>
          </w:p>
        </w:tc>
        <w:tc>
          <w:tcPr>
            <w:tcW w:w="588" w:type="pct"/>
            <w:tcBorders>
              <w:top w:val="nil"/>
              <w:left w:val="nil"/>
              <w:bottom w:val="nil"/>
              <w:right w:val="nil"/>
            </w:tcBorders>
            <w:shd w:val="clear" w:color="000000" w:fill="D8E4BC"/>
            <w:noWrap/>
            <w:vAlign w:val="center"/>
            <w:hideMark/>
          </w:tcPr>
          <w:p w14:paraId="692F48E6"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4</w:t>
            </w:r>
          </w:p>
        </w:tc>
        <w:tc>
          <w:tcPr>
            <w:tcW w:w="666" w:type="pct"/>
            <w:tcBorders>
              <w:top w:val="nil"/>
              <w:left w:val="nil"/>
              <w:bottom w:val="nil"/>
              <w:right w:val="nil"/>
            </w:tcBorders>
            <w:shd w:val="clear" w:color="000000" w:fill="D8E4BC"/>
            <w:noWrap/>
            <w:vAlign w:val="center"/>
            <w:hideMark/>
          </w:tcPr>
          <w:p w14:paraId="560C9BDC"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1.995</w:t>
            </w:r>
          </w:p>
        </w:tc>
        <w:tc>
          <w:tcPr>
            <w:tcW w:w="588" w:type="pct"/>
            <w:tcBorders>
              <w:top w:val="nil"/>
              <w:left w:val="nil"/>
              <w:bottom w:val="nil"/>
              <w:right w:val="nil"/>
            </w:tcBorders>
            <w:shd w:val="clear" w:color="auto" w:fill="auto"/>
            <w:noWrap/>
            <w:vAlign w:val="center"/>
            <w:hideMark/>
          </w:tcPr>
          <w:p w14:paraId="3CC42DE0"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21</w:t>
            </w:r>
          </w:p>
        </w:tc>
        <w:tc>
          <w:tcPr>
            <w:tcW w:w="666" w:type="pct"/>
            <w:tcBorders>
              <w:top w:val="nil"/>
              <w:left w:val="nil"/>
              <w:bottom w:val="nil"/>
              <w:right w:val="nil"/>
            </w:tcBorders>
            <w:shd w:val="clear" w:color="auto" w:fill="auto"/>
            <w:noWrap/>
            <w:vAlign w:val="center"/>
            <w:hideMark/>
          </w:tcPr>
          <w:p w14:paraId="4D20B3E1"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6.414</w:t>
            </w:r>
          </w:p>
        </w:tc>
        <w:tc>
          <w:tcPr>
            <w:tcW w:w="588" w:type="pct"/>
            <w:tcBorders>
              <w:top w:val="nil"/>
              <w:left w:val="nil"/>
              <w:bottom w:val="nil"/>
              <w:right w:val="nil"/>
            </w:tcBorders>
            <w:shd w:val="clear" w:color="auto" w:fill="auto"/>
            <w:noWrap/>
            <w:vAlign w:val="center"/>
            <w:hideMark/>
          </w:tcPr>
          <w:p w14:paraId="7AA19FD8"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19,0%</w:t>
            </w:r>
          </w:p>
        </w:tc>
        <w:tc>
          <w:tcPr>
            <w:tcW w:w="666" w:type="pct"/>
            <w:tcBorders>
              <w:top w:val="nil"/>
              <w:left w:val="nil"/>
              <w:bottom w:val="nil"/>
              <w:right w:val="nil"/>
            </w:tcBorders>
            <w:shd w:val="clear" w:color="auto" w:fill="auto"/>
            <w:noWrap/>
            <w:vAlign w:val="center"/>
            <w:hideMark/>
          </w:tcPr>
          <w:p w14:paraId="257E0AE5"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31,1%</w:t>
            </w:r>
          </w:p>
        </w:tc>
      </w:tr>
      <w:tr w:rsidR="00EC790A" w:rsidRPr="001B044E" w14:paraId="28A47564" w14:textId="77777777" w:rsidTr="001B044E">
        <w:trPr>
          <w:trHeight w:val="20"/>
        </w:trPr>
        <w:tc>
          <w:tcPr>
            <w:tcW w:w="1238" w:type="pct"/>
            <w:tcBorders>
              <w:top w:val="nil"/>
              <w:left w:val="nil"/>
              <w:bottom w:val="nil"/>
              <w:right w:val="nil"/>
            </w:tcBorders>
            <w:shd w:val="clear" w:color="auto" w:fill="auto"/>
            <w:noWrap/>
            <w:vAlign w:val="center"/>
            <w:hideMark/>
          </w:tcPr>
          <w:p w14:paraId="6C721A07"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Pistoia</w:t>
            </w:r>
          </w:p>
        </w:tc>
        <w:tc>
          <w:tcPr>
            <w:tcW w:w="588" w:type="pct"/>
            <w:tcBorders>
              <w:top w:val="nil"/>
              <w:left w:val="nil"/>
              <w:bottom w:val="nil"/>
              <w:right w:val="nil"/>
            </w:tcBorders>
            <w:shd w:val="clear" w:color="000000" w:fill="D8E4BC"/>
            <w:noWrap/>
            <w:vAlign w:val="center"/>
            <w:hideMark/>
          </w:tcPr>
          <w:p w14:paraId="705D705B"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0</w:t>
            </w:r>
          </w:p>
        </w:tc>
        <w:tc>
          <w:tcPr>
            <w:tcW w:w="666" w:type="pct"/>
            <w:tcBorders>
              <w:top w:val="nil"/>
              <w:left w:val="nil"/>
              <w:bottom w:val="nil"/>
              <w:right w:val="nil"/>
            </w:tcBorders>
            <w:shd w:val="clear" w:color="000000" w:fill="D8E4BC"/>
            <w:noWrap/>
            <w:vAlign w:val="center"/>
            <w:hideMark/>
          </w:tcPr>
          <w:p w14:paraId="4BAC4FF7"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0</w:t>
            </w:r>
          </w:p>
        </w:tc>
        <w:tc>
          <w:tcPr>
            <w:tcW w:w="588" w:type="pct"/>
            <w:tcBorders>
              <w:top w:val="nil"/>
              <w:left w:val="nil"/>
              <w:bottom w:val="nil"/>
              <w:right w:val="nil"/>
            </w:tcBorders>
            <w:shd w:val="clear" w:color="auto" w:fill="auto"/>
            <w:noWrap/>
            <w:vAlign w:val="center"/>
            <w:hideMark/>
          </w:tcPr>
          <w:p w14:paraId="2C8488C7"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7</w:t>
            </w:r>
          </w:p>
        </w:tc>
        <w:tc>
          <w:tcPr>
            <w:tcW w:w="666" w:type="pct"/>
            <w:tcBorders>
              <w:top w:val="nil"/>
              <w:left w:val="nil"/>
              <w:bottom w:val="nil"/>
              <w:right w:val="nil"/>
            </w:tcBorders>
            <w:shd w:val="clear" w:color="auto" w:fill="auto"/>
            <w:noWrap/>
            <w:vAlign w:val="center"/>
            <w:hideMark/>
          </w:tcPr>
          <w:p w14:paraId="73801028"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2.726</w:t>
            </w:r>
          </w:p>
        </w:tc>
        <w:tc>
          <w:tcPr>
            <w:tcW w:w="588" w:type="pct"/>
            <w:tcBorders>
              <w:top w:val="nil"/>
              <w:left w:val="nil"/>
              <w:bottom w:val="nil"/>
              <w:right w:val="nil"/>
            </w:tcBorders>
            <w:shd w:val="clear" w:color="auto" w:fill="auto"/>
            <w:noWrap/>
            <w:vAlign w:val="center"/>
            <w:hideMark/>
          </w:tcPr>
          <w:p w14:paraId="12F8D4E1"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0,0%</w:t>
            </w:r>
          </w:p>
        </w:tc>
        <w:tc>
          <w:tcPr>
            <w:tcW w:w="666" w:type="pct"/>
            <w:tcBorders>
              <w:top w:val="nil"/>
              <w:left w:val="nil"/>
              <w:bottom w:val="nil"/>
              <w:right w:val="nil"/>
            </w:tcBorders>
            <w:shd w:val="clear" w:color="auto" w:fill="auto"/>
            <w:noWrap/>
            <w:vAlign w:val="center"/>
            <w:hideMark/>
          </w:tcPr>
          <w:p w14:paraId="6F0B8970"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0,0%</w:t>
            </w:r>
          </w:p>
        </w:tc>
      </w:tr>
      <w:tr w:rsidR="00EC790A" w:rsidRPr="001B044E" w14:paraId="26DAD8ED" w14:textId="77777777" w:rsidTr="001B044E">
        <w:trPr>
          <w:trHeight w:val="20"/>
        </w:trPr>
        <w:tc>
          <w:tcPr>
            <w:tcW w:w="1238" w:type="pct"/>
            <w:tcBorders>
              <w:top w:val="nil"/>
              <w:left w:val="nil"/>
              <w:bottom w:val="single" w:sz="8" w:space="0" w:color="auto"/>
              <w:right w:val="nil"/>
            </w:tcBorders>
            <w:shd w:val="clear" w:color="auto" w:fill="auto"/>
            <w:noWrap/>
            <w:vAlign w:val="center"/>
            <w:hideMark/>
          </w:tcPr>
          <w:p w14:paraId="48383FCA"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Siena</w:t>
            </w:r>
          </w:p>
        </w:tc>
        <w:tc>
          <w:tcPr>
            <w:tcW w:w="588" w:type="pct"/>
            <w:tcBorders>
              <w:top w:val="nil"/>
              <w:left w:val="nil"/>
              <w:bottom w:val="single" w:sz="8" w:space="0" w:color="auto"/>
              <w:right w:val="nil"/>
            </w:tcBorders>
            <w:shd w:val="clear" w:color="000000" w:fill="D8E4BC"/>
            <w:noWrap/>
            <w:vAlign w:val="center"/>
            <w:hideMark/>
          </w:tcPr>
          <w:p w14:paraId="30F406A5"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4</w:t>
            </w:r>
          </w:p>
        </w:tc>
        <w:tc>
          <w:tcPr>
            <w:tcW w:w="666" w:type="pct"/>
            <w:tcBorders>
              <w:top w:val="nil"/>
              <w:left w:val="nil"/>
              <w:bottom w:val="single" w:sz="8" w:space="0" w:color="auto"/>
              <w:right w:val="nil"/>
            </w:tcBorders>
            <w:shd w:val="clear" w:color="000000" w:fill="D8E4BC"/>
            <w:noWrap/>
            <w:vAlign w:val="center"/>
            <w:hideMark/>
          </w:tcPr>
          <w:p w14:paraId="1CAFAEC0"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1.276</w:t>
            </w:r>
          </w:p>
        </w:tc>
        <w:tc>
          <w:tcPr>
            <w:tcW w:w="588" w:type="pct"/>
            <w:tcBorders>
              <w:top w:val="nil"/>
              <w:left w:val="nil"/>
              <w:bottom w:val="single" w:sz="8" w:space="0" w:color="auto"/>
              <w:right w:val="nil"/>
            </w:tcBorders>
            <w:shd w:val="clear" w:color="auto" w:fill="auto"/>
            <w:noWrap/>
            <w:vAlign w:val="center"/>
            <w:hideMark/>
          </w:tcPr>
          <w:p w14:paraId="1ACFC82E"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12</w:t>
            </w:r>
          </w:p>
        </w:tc>
        <w:tc>
          <w:tcPr>
            <w:tcW w:w="666" w:type="pct"/>
            <w:tcBorders>
              <w:top w:val="nil"/>
              <w:left w:val="nil"/>
              <w:bottom w:val="single" w:sz="8" w:space="0" w:color="auto"/>
              <w:right w:val="nil"/>
            </w:tcBorders>
            <w:shd w:val="clear" w:color="auto" w:fill="auto"/>
            <w:noWrap/>
            <w:vAlign w:val="center"/>
            <w:hideMark/>
          </w:tcPr>
          <w:p w14:paraId="303F4AAE"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6.246</w:t>
            </w:r>
          </w:p>
        </w:tc>
        <w:tc>
          <w:tcPr>
            <w:tcW w:w="588" w:type="pct"/>
            <w:tcBorders>
              <w:top w:val="nil"/>
              <w:left w:val="nil"/>
              <w:bottom w:val="single" w:sz="8" w:space="0" w:color="auto"/>
              <w:right w:val="nil"/>
            </w:tcBorders>
            <w:shd w:val="clear" w:color="auto" w:fill="auto"/>
            <w:noWrap/>
            <w:vAlign w:val="center"/>
            <w:hideMark/>
          </w:tcPr>
          <w:p w14:paraId="0720B102"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33,3%</w:t>
            </w:r>
          </w:p>
        </w:tc>
        <w:tc>
          <w:tcPr>
            <w:tcW w:w="666" w:type="pct"/>
            <w:tcBorders>
              <w:top w:val="nil"/>
              <w:left w:val="nil"/>
              <w:bottom w:val="single" w:sz="8" w:space="0" w:color="auto"/>
              <w:right w:val="nil"/>
            </w:tcBorders>
            <w:shd w:val="clear" w:color="auto" w:fill="auto"/>
            <w:noWrap/>
            <w:vAlign w:val="center"/>
            <w:hideMark/>
          </w:tcPr>
          <w:p w14:paraId="0C334B42"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20,4%</w:t>
            </w:r>
          </w:p>
        </w:tc>
      </w:tr>
      <w:tr w:rsidR="00EC790A" w:rsidRPr="001B044E" w14:paraId="40EB22C8" w14:textId="77777777" w:rsidTr="001B044E">
        <w:trPr>
          <w:trHeight w:val="20"/>
        </w:trPr>
        <w:tc>
          <w:tcPr>
            <w:tcW w:w="1238" w:type="pct"/>
            <w:tcBorders>
              <w:top w:val="nil"/>
              <w:left w:val="nil"/>
              <w:bottom w:val="single" w:sz="8" w:space="0" w:color="auto"/>
              <w:right w:val="nil"/>
            </w:tcBorders>
            <w:shd w:val="clear" w:color="auto" w:fill="auto"/>
            <w:noWrap/>
            <w:vAlign w:val="center"/>
            <w:hideMark/>
          </w:tcPr>
          <w:p w14:paraId="34C0CD8C" w14:textId="77777777" w:rsidR="00EC790A" w:rsidRPr="001B044E" w:rsidRDefault="00EC790A" w:rsidP="00EC790A">
            <w:pPr>
              <w:rPr>
                <w:rFonts w:ascii="Arial Narrow" w:eastAsia="Times New Roman" w:hAnsi="Arial Narrow" w:cs="Times New Roman"/>
                <w:b/>
                <w:bCs/>
                <w:sz w:val="18"/>
                <w:szCs w:val="18"/>
              </w:rPr>
            </w:pPr>
            <w:r w:rsidRPr="001B044E">
              <w:rPr>
                <w:rFonts w:ascii="Arial Narrow" w:eastAsia="Times New Roman" w:hAnsi="Arial Narrow" w:cs="Times New Roman"/>
                <w:b/>
                <w:bCs/>
                <w:sz w:val="18"/>
                <w:szCs w:val="18"/>
              </w:rPr>
              <w:t>CAMPEGGI E V.T.</w:t>
            </w:r>
          </w:p>
        </w:tc>
        <w:tc>
          <w:tcPr>
            <w:tcW w:w="588" w:type="pct"/>
            <w:tcBorders>
              <w:top w:val="nil"/>
              <w:left w:val="nil"/>
              <w:bottom w:val="single" w:sz="8" w:space="0" w:color="auto"/>
              <w:right w:val="nil"/>
            </w:tcBorders>
            <w:shd w:val="clear" w:color="000000" w:fill="D8E4BC"/>
            <w:noWrap/>
            <w:vAlign w:val="center"/>
            <w:hideMark/>
          </w:tcPr>
          <w:p w14:paraId="639A3858" w14:textId="77777777" w:rsidR="00EC790A" w:rsidRPr="001B044E" w:rsidRDefault="00EC790A" w:rsidP="00EC790A">
            <w:pPr>
              <w:jc w:val="right"/>
              <w:rPr>
                <w:rFonts w:ascii="Arial Narrow" w:eastAsia="Times New Roman" w:hAnsi="Arial Narrow" w:cs="Times New Roman"/>
                <w:b/>
                <w:bCs/>
                <w:sz w:val="18"/>
                <w:szCs w:val="18"/>
              </w:rPr>
            </w:pPr>
            <w:r w:rsidRPr="001B044E">
              <w:rPr>
                <w:rFonts w:ascii="Arial Narrow" w:eastAsia="Times New Roman" w:hAnsi="Arial Narrow" w:cs="Times New Roman"/>
                <w:b/>
                <w:bCs/>
                <w:sz w:val="18"/>
                <w:szCs w:val="18"/>
              </w:rPr>
              <w:t>42</w:t>
            </w:r>
          </w:p>
        </w:tc>
        <w:tc>
          <w:tcPr>
            <w:tcW w:w="666" w:type="pct"/>
            <w:tcBorders>
              <w:top w:val="nil"/>
              <w:left w:val="nil"/>
              <w:bottom w:val="single" w:sz="8" w:space="0" w:color="auto"/>
              <w:right w:val="nil"/>
            </w:tcBorders>
            <w:shd w:val="clear" w:color="000000" w:fill="D8E4BC"/>
            <w:noWrap/>
            <w:vAlign w:val="center"/>
            <w:hideMark/>
          </w:tcPr>
          <w:p w14:paraId="2E70628F" w14:textId="77777777" w:rsidR="00EC790A" w:rsidRPr="001B044E" w:rsidRDefault="00EC790A" w:rsidP="00EC790A">
            <w:pPr>
              <w:jc w:val="right"/>
              <w:rPr>
                <w:rFonts w:ascii="Arial Narrow" w:eastAsia="Times New Roman" w:hAnsi="Arial Narrow" w:cs="Times New Roman"/>
                <w:b/>
                <w:bCs/>
                <w:sz w:val="18"/>
                <w:szCs w:val="18"/>
              </w:rPr>
            </w:pPr>
            <w:r w:rsidRPr="001B044E">
              <w:rPr>
                <w:rFonts w:ascii="Arial Narrow" w:eastAsia="Times New Roman" w:hAnsi="Arial Narrow" w:cs="Times New Roman"/>
                <w:b/>
                <w:bCs/>
                <w:sz w:val="18"/>
                <w:szCs w:val="18"/>
              </w:rPr>
              <w:t>34.456</w:t>
            </w:r>
          </w:p>
        </w:tc>
        <w:tc>
          <w:tcPr>
            <w:tcW w:w="588" w:type="pct"/>
            <w:tcBorders>
              <w:top w:val="nil"/>
              <w:left w:val="nil"/>
              <w:bottom w:val="single" w:sz="8" w:space="0" w:color="auto"/>
              <w:right w:val="nil"/>
            </w:tcBorders>
            <w:shd w:val="clear" w:color="auto" w:fill="auto"/>
            <w:noWrap/>
            <w:vAlign w:val="center"/>
            <w:hideMark/>
          </w:tcPr>
          <w:p w14:paraId="2881D294" w14:textId="77777777" w:rsidR="00EC790A" w:rsidRPr="001B044E" w:rsidRDefault="00EC790A" w:rsidP="00EC790A">
            <w:pPr>
              <w:jc w:val="right"/>
              <w:rPr>
                <w:rFonts w:ascii="Arial Narrow" w:eastAsia="Times New Roman" w:hAnsi="Arial Narrow" w:cs="Times New Roman"/>
                <w:b/>
                <w:bCs/>
                <w:sz w:val="18"/>
                <w:szCs w:val="18"/>
              </w:rPr>
            </w:pPr>
            <w:r w:rsidRPr="001B044E">
              <w:rPr>
                <w:rFonts w:ascii="Arial Narrow" w:eastAsia="Times New Roman" w:hAnsi="Arial Narrow" w:cs="Times New Roman"/>
                <w:b/>
                <w:bCs/>
                <w:sz w:val="18"/>
                <w:szCs w:val="18"/>
              </w:rPr>
              <w:t>255</w:t>
            </w:r>
          </w:p>
        </w:tc>
        <w:tc>
          <w:tcPr>
            <w:tcW w:w="666" w:type="pct"/>
            <w:tcBorders>
              <w:top w:val="nil"/>
              <w:left w:val="nil"/>
              <w:bottom w:val="single" w:sz="8" w:space="0" w:color="auto"/>
              <w:right w:val="nil"/>
            </w:tcBorders>
            <w:shd w:val="clear" w:color="auto" w:fill="auto"/>
            <w:noWrap/>
            <w:vAlign w:val="center"/>
            <w:hideMark/>
          </w:tcPr>
          <w:p w14:paraId="17784E50" w14:textId="77777777" w:rsidR="00EC790A" w:rsidRPr="001B044E" w:rsidRDefault="00EC790A" w:rsidP="00EC790A">
            <w:pPr>
              <w:jc w:val="right"/>
              <w:rPr>
                <w:rFonts w:ascii="Arial Narrow" w:eastAsia="Times New Roman" w:hAnsi="Arial Narrow" w:cs="Times New Roman"/>
                <w:b/>
                <w:bCs/>
                <w:sz w:val="18"/>
                <w:szCs w:val="18"/>
              </w:rPr>
            </w:pPr>
            <w:r w:rsidRPr="001B044E">
              <w:rPr>
                <w:rFonts w:ascii="Arial Narrow" w:eastAsia="Times New Roman" w:hAnsi="Arial Narrow" w:cs="Times New Roman"/>
                <w:b/>
                <w:bCs/>
                <w:sz w:val="18"/>
                <w:szCs w:val="18"/>
              </w:rPr>
              <w:t>175.897</w:t>
            </w:r>
          </w:p>
        </w:tc>
        <w:tc>
          <w:tcPr>
            <w:tcW w:w="588" w:type="pct"/>
            <w:tcBorders>
              <w:top w:val="nil"/>
              <w:left w:val="nil"/>
              <w:bottom w:val="single" w:sz="8" w:space="0" w:color="auto"/>
              <w:right w:val="nil"/>
            </w:tcBorders>
            <w:shd w:val="clear" w:color="auto" w:fill="auto"/>
            <w:noWrap/>
            <w:vAlign w:val="center"/>
            <w:hideMark/>
          </w:tcPr>
          <w:p w14:paraId="7D60FEAB" w14:textId="77777777" w:rsidR="00EC790A" w:rsidRPr="001B044E" w:rsidRDefault="00EC790A" w:rsidP="00EC790A">
            <w:pPr>
              <w:jc w:val="right"/>
              <w:rPr>
                <w:rFonts w:ascii="Arial Narrow" w:eastAsia="Times New Roman" w:hAnsi="Arial Narrow" w:cs="Times New Roman"/>
                <w:b/>
                <w:bCs/>
                <w:sz w:val="18"/>
                <w:szCs w:val="18"/>
              </w:rPr>
            </w:pPr>
            <w:r w:rsidRPr="001B044E">
              <w:rPr>
                <w:rFonts w:ascii="Arial Narrow" w:eastAsia="Times New Roman" w:hAnsi="Arial Narrow" w:cs="Times New Roman"/>
                <w:b/>
                <w:bCs/>
                <w:sz w:val="18"/>
                <w:szCs w:val="18"/>
              </w:rPr>
              <w:t>16,5%</w:t>
            </w:r>
          </w:p>
        </w:tc>
        <w:tc>
          <w:tcPr>
            <w:tcW w:w="666" w:type="pct"/>
            <w:tcBorders>
              <w:top w:val="nil"/>
              <w:left w:val="nil"/>
              <w:bottom w:val="single" w:sz="8" w:space="0" w:color="auto"/>
              <w:right w:val="nil"/>
            </w:tcBorders>
            <w:shd w:val="clear" w:color="auto" w:fill="auto"/>
            <w:noWrap/>
            <w:vAlign w:val="center"/>
            <w:hideMark/>
          </w:tcPr>
          <w:p w14:paraId="0D16DB63" w14:textId="77777777" w:rsidR="00EC790A" w:rsidRPr="001B044E" w:rsidRDefault="00EC790A" w:rsidP="00EC790A">
            <w:pPr>
              <w:jc w:val="right"/>
              <w:rPr>
                <w:rFonts w:ascii="Arial Narrow" w:eastAsia="Times New Roman" w:hAnsi="Arial Narrow" w:cs="Times New Roman"/>
                <w:b/>
                <w:bCs/>
                <w:sz w:val="18"/>
                <w:szCs w:val="18"/>
              </w:rPr>
            </w:pPr>
            <w:r w:rsidRPr="001B044E">
              <w:rPr>
                <w:rFonts w:ascii="Arial Narrow" w:eastAsia="Times New Roman" w:hAnsi="Arial Narrow" w:cs="Times New Roman"/>
                <w:b/>
                <w:bCs/>
                <w:sz w:val="18"/>
                <w:szCs w:val="18"/>
              </w:rPr>
              <w:t>19,6%</w:t>
            </w:r>
          </w:p>
        </w:tc>
      </w:tr>
      <w:tr w:rsidR="00EC790A" w:rsidRPr="001B044E" w14:paraId="722DABCB" w14:textId="77777777" w:rsidTr="001B044E">
        <w:trPr>
          <w:trHeight w:val="20"/>
        </w:trPr>
        <w:tc>
          <w:tcPr>
            <w:tcW w:w="1238" w:type="pct"/>
            <w:tcBorders>
              <w:top w:val="nil"/>
              <w:left w:val="nil"/>
              <w:bottom w:val="nil"/>
              <w:right w:val="nil"/>
            </w:tcBorders>
            <w:shd w:val="clear" w:color="auto" w:fill="auto"/>
            <w:noWrap/>
            <w:vAlign w:val="center"/>
            <w:hideMark/>
          </w:tcPr>
          <w:p w14:paraId="17A226E1"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Altro interesse</w:t>
            </w:r>
          </w:p>
        </w:tc>
        <w:tc>
          <w:tcPr>
            <w:tcW w:w="588" w:type="pct"/>
            <w:tcBorders>
              <w:top w:val="nil"/>
              <w:left w:val="nil"/>
              <w:bottom w:val="nil"/>
              <w:right w:val="nil"/>
            </w:tcBorders>
            <w:shd w:val="clear" w:color="000000" w:fill="D8E4BC"/>
            <w:noWrap/>
            <w:vAlign w:val="center"/>
            <w:hideMark/>
          </w:tcPr>
          <w:p w14:paraId="42BA3F82"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3</w:t>
            </w:r>
          </w:p>
        </w:tc>
        <w:tc>
          <w:tcPr>
            <w:tcW w:w="666" w:type="pct"/>
            <w:tcBorders>
              <w:top w:val="nil"/>
              <w:left w:val="nil"/>
              <w:bottom w:val="nil"/>
              <w:right w:val="nil"/>
            </w:tcBorders>
            <w:shd w:val="clear" w:color="000000" w:fill="D8E4BC"/>
            <w:noWrap/>
            <w:vAlign w:val="center"/>
            <w:hideMark/>
          </w:tcPr>
          <w:p w14:paraId="7E2339C9"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1.617</w:t>
            </w:r>
          </w:p>
        </w:tc>
        <w:tc>
          <w:tcPr>
            <w:tcW w:w="588" w:type="pct"/>
            <w:tcBorders>
              <w:top w:val="nil"/>
              <w:left w:val="nil"/>
              <w:bottom w:val="nil"/>
              <w:right w:val="nil"/>
            </w:tcBorders>
            <w:shd w:val="clear" w:color="auto" w:fill="auto"/>
            <w:noWrap/>
            <w:vAlign w:val="center"/>
            <w:hideMark/>
          </w:tcPr>
          <w:p w14:paraId="286CD2E0"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6</w:t>
            </w:r>
          </w:p>
        </w:tc>
        <w:tc>
          <w:tcPr>
            <w:tcW w:w="666" w:type="pct"/>
            <w:tcBorders>
              <w:top w:val="nil"/>
              <w:left w:val="nil"/>
              <w:bottom w:val="nil"/>
              <w:right w:val="nil"/>
            </w:tcBorders>
            <w:shd w:val="clear" w:color="auto" w:fill="auto"/>
            <w:noWrap/>
            <w:vAlign w:val="center"/>
            <w:hideMark/>
          </w:tcPr>
          <w:p w14:paraId="71E2A2C7"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5.255</w:t>
            </w:r>
          </w:p>
        </w:tc>
        <w:tc>
          <w:tcPr>
            <w:tcW w:w="588" w:type="pct"/>
            <w:tcBorders>
              <w:top w:val="nil"/>
              <w:left w:val="nil"/>
              <w:bottom w:val="nil"/>
              <w:right w:val="nil"/>
            </w:tcBorders>
            <w:shd w:val="clear" w:color="auto" w:fill="auto"/>
            <w:noWrap/>
            <w:vAlign w:val="center"/>
            <w:hideMark/>
          </w:tcPr>
          <w:p w14:paraId="1E8BB078"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50,0%</w:t>
            </w:r>
          </w:p>
        </w:tc>
        <w:tc>
          <w:tcPr>
            <w:tcW w:w="666" w:type="pct"/>
            <w:tcBorders>
              <w:top w:val="nil"/>
              <w:left w:val="nil"/>
              <w:bottom w:val="nil"/>
              <w:right w:val="nil"/>
            </w:tcBorders>
            <w:shd w:val="clear" w:color="auto" w:fill="auto"/>
            <w:noWrap/>
            <w:vAlign w:val="center"/>
            <w:hideMark/>
          </w:tcPr>
          <w:p w14:paraId="6FFDAEF4"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30,8%</w:t>
            </w:r>
          </w:p>
        </w:tc>
      </w:tr>
      <w:tr w:rsidR="00EC790A" w:rsidRPr="001B044E" w14:paraId="5BE71F67" w14:textId="77777777" w:rsidTr="001B044E">
        <w:trPr>
          <w:trHeight w:val="20"/>
        </w:trPr>
        <w:tc>
          <w:tcPr>
            <w:tcW w:w="1238" w:type="pct"/>
            <w:tcBorders>
              <w:top w:val="nil"/>
              <w:left w:val="nil"/>
              <w:bottom w:val="nil"/>
              <w:right w:val="nil"/>
            </w:tcBorders>
            <w:shd w:val="clear" w:color="auto" w:fill="auto"/>
            <w:noWrap/>
            <w:vAlign w:val="center"/>
            <w:hideMark/>
          </w:tcPr>
          <w:p w14:paraId="5D246CFA"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Arte Affari</w:t>
            </w:r>
          </w:p>
        </w:tc>
        <w:tc>
          <w:tcPr>
            <w:tcW w:w="588" w:type="pct"/>
            <w:tcBorders>
              <w:top w:val="nil"/>
              <w:left w:val="nil"/>
              <w:bottom w:val="nil"/>
              <w:right w:val="nil"/>
            </w:tcBorders>
            <w:shd w:val="clear" w:color="000000" w:fill="D8E4BC"/>
            <w:noWrap/>
            <w:vAlign w:val="center"/>
            <w:hideMark/>
          </w:tcPr>
          <w:p w14:paraId="597591C1"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6</w:t>
            </w:r>
          </w:p>
        </w:tc>
        <w:tc>
          <w:tcPr>
            <w:tcW w:w="666" w:type="pct"/>
            <w:tcBorders>
              <w:top w:val="nil"/>
              <w:left w:val="nil"/>
              <w:bottom w:val="nil"/>
              <w:right w:val="nil"/>
            </w:tcBorders>
            <w:shd w:val="clear" w:color="000000" w:fill="D8E4BC"/>
            <w:noWrap/>
            <w:vAlign w:val="center"/>
            <w:hideMark/>
          </w:tcPr>
          <w:p w14:paraId="0E657847"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2.471</w:t>
            </w:r>
          </w:p>
        </w:tc>
        <w:tc>
          <w:tcPr>
            <w:tcW w:w="588" w:type="pct"/>
            <w:tcBorders>
              <w:top w:val="nil"/>
              <w:left w:val="nil"/>
              <w:bottom w:val="nil"/>
              <w:right w:val="nil"/>
            </w:tcBorders>
            <w:shd w:val="clear" w:color="auto" w:fill="auto"/>
            <w:noWrap/>
            <w:vAlign w:val="center"/>
            <w:hideMark/>
          </w:tcPr>
          <w:p w14:paraId="65C3E321"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30</w:t>
            </w:r>
          </w:p>
        </w:tc>
        <w:tc>
          <w:tcPr>
            <w:tcW w:w="666" w:type="pct"/>
            <w:tcBorders>
              <w:top w:val="nil"/>
              <w:left w:val="nil"/>
              <w:bottom w:val="nil"/>
              <w:right w:val="nil"/>
            </w:tcBorders>
            <w:shd w:val="clear" w:color="auto" w:fill="auto"/>
            <w:noWrap/>
            <w:vAlign w:val="center"/>
            <w:hideMark/>
          </w:tcPr>
          <w:p w14:paraId="26ED50B1"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14.017</w:t>
            </w:r>
          </w:p>
        </w:tc>
        <w:tc>
          <w:tcPr>
            <w:tcW w:w="588" w:type="pct"/>
            <w:tcBorders>
              <w:top w:val="nil"/>
              <w:left w:val="nil"/>
              <w:bottom w:val="nil"/>
              <w:right w:val="nil"/>
            </w:tcBorders>
            <w:shd w:val="clear" w:color="auto" w:fill="auto"/>
            <w:noWrap/>
            <w:vAlign w:val="center"/>
            <w:hideMark/>
          </w:tcPr>
          <w:p w14:paraId="793D58C2"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20,0%</w:t>
            </w:r>
          </w:p>
        </w:tc>
        <w:tc>
          <w:tcPr>
            <w:tcW w:w="666" w:type="pct"/>
            <w:tcBorders>
              <w:top w:val="nil"/>
              <w:left w:val="nil"/>
              <w:bottom w:val="nil"/>
              <w:right w:val="nil"/>
            </w:tcBorders>
            <w:shd w:val="clear" w:color="auto" w:fill="auto"/>
            <w:noWrap/>
            <w:vAlign w:val="center"/>
            <w:hideMark/>
          </w:tcPr>
          <w:p w14:paraId="41830F1A"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17,6%</w:t>
            </w:r>
          </w:p>
        </w:tc>
      </w:tr>
      <w:tr w:rsidR="00EC790A" w:rsidRPr="001B044E" w14:paraId="005A9B11" w14:textId="77777777" w:rsidTr="001B044E">
        <w:trPr>
          <w:trHeight w:val="20"/>
        </w:trPr>
        <w:tc>
          <w:tcPr>
            <w:tcW w:w="1238" w:type="pct"/>
            <w:tcBorders>
              <w:top w:val="nil"/>
              <w:left w:val="nil"/>
              <w:bottom w:val="nil"/>
              <w:right w:val="nil"/>
            </w:tcBorders>
            <w:shd w:val="clear" w:color="auto" w:fill="auto"/>
            <w:noWrap/>
            <w:vAlign w:val="center"/>
            <w:hideMark/>
          </w:tcPr>
          <w:p w14:paraId="4CAC8CC8"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Balneare</w:t>
            </w:r>
          </w:p>
        </w:tc>
        <w:tc>
          <w:tcPr>
            <w:tcW w:w="588" w:type="pct"/>
            <w:tcBorders>
              <w:top w:val="nil"/>
              <w:left w:val="nil"/>
              <w:bottom w:val="nil"/>
              <w:right w:val="nil"/>
            </w:tcBorders>
            <w:shd w:val="clear" w:color="000000" w:fill="D8E4BC"/>
            <w:noWrap/>
            <w:vAlign w:val="center"/>
            <w:hideMark/>
          </w:tcPr>
          <w:p w14:paraId="12A1B0BF"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24</w:t>
            </w:r>
          </w:p>
        </w:tc>
        <w:tc>
          <w:tcPr>
            <w:tcW w:w="666" w:type="pct"/>
            <w:tcBorders>
              <w:top w:val="nil"/>
              <w:left w:val="nil"/>
              <w:bottom w:val="nil"/>
              <w:right w:val="nil"/>
            </w:tcBorders>
            <w:shd w:val="clear" w:color="000000" w:fill="D8E4BC"/>
            <w:noWrap/>
            <w:vAlign w:val="center"/>
            <w:hideMark/>
          </w:tcPr>
          <w:p w14:paraId="60064BED"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27.430</w:t>
            </w:r>
          </w:p>
        </w:tc>
        <w:tc>
          <w:tcPr>
            <w:tcW w:w="588" w:type="pct"/>
            <w:tcBorders>
              <w:top w:val="nil"/>
              <w:left w:val="nil"/>
              <w:bottom w:val="nil"/>
              <w:right w:val="nil"/>
            </w:tcBorders>
            <w:shd w:val="clear" w:color="auto" w:fill="auto"/>
            <w:noWrap/>
            <w:vAlign w:val="center"/>
            <w:hideMark/>
          </w:tcPr>
          <w:p w14:paraId="6C9BBA4E"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166</w:t>
            </w:r>
          </w:p>
        </w:tc>
        <w:tc>
          <w:tcPr>
            <w:tcW w:w="666" w:type="pct"/>
            <w:tcBorders>
              <w:top w:val="nil"/>
              <w:left w:val="nil"/>
              <w:bottom w:val="nil"/>
              <w:right w:val="nil"/>
            </w:tcBorders>
            <w:shd w:val="clear" w:color="auto" w:fill="auto"/>
            <w:noWrap/>
            <w:vAlign w:val="center"/>
            <w:hideMark/>
          </w:tcPr>
          <w:p w14:paraId="2D47422A"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142.447</w:t>
            </w:r>
          </w:p>
        </w:tc>
        <w:tc>
          <w:tcPr>
            <w:tcW w:w="588" w:type="pct"/>
            <w:tcBorders>
              <w:top w:val="nil"/>
              <w:left w:val="nil"/>
              <w:bottom w:val="nil"/>
              <w:right w:val="nil"/>
            </w:tcBorders>
            <w:shd w:val="clear" w:color="auto" w:fill="auto"/>
            <w:noWrap/>
            <w:vAlign w:val="center"/>
            <w:hideMark/>
          </w:tcPr>
          <w:p w14:paraId="21C21A9A"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14,5%</w:t>
            </w:r>
          </w:p>
        </w:tc>
        <w:tc>
          <w:tcPr>
            <w:tcW w:w="666" w:type="pct"/>
            <w:tcBorders>
              <w:top w:val="nil"/>
              <w:left w:val="nil"/>
              <w:bottom w:val="nil"/>
              <w:right w:val="nil"/>
            </w:tcBorders>
            <w:shd w:val="clear" w:color="auto" w:fill="auto"/>
            <w:noWrap/>
            <w:vAlign w:val="center"/>
            <w:hideMark/>
          </w:tcPr>
          <w:p w14:paraId="2E835B84"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19,3%</w:t>
            </w:r>
          </w:p>
        </w:tc>
      </w:tr>
      <w:tr w:rsidR="00EC790A" w:rsidRPr="001B044E" w14:paraId="6B4818C2" w14:textId="77777777" w:rsidTr="001B044E">
        <w:trPr>
          <w:trHeight w:val="20"/>
        </w:trPr>
        <w:tc>
          <w:tcPr>
            <w:tcW w:w="1238" w:type="pct"/>
            <w:tcBorders>
              <w:top w:val="nil"/>
              <w:left w:val="nil"/>
              <w:bottom w:val="nil"/>
              <w:right w:val="nil"/>
            </w:tcBorders>
            <w:shd w:val="clear" w:color="auto" w:fill="auto"/>
            <w:noWrap/>
            <w:vAlign w:val="center"/>
            <w:hideMark/>
          </w:tcPr>
          <w:p w14:paraId="2EFB92EC"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Campagna collina</w:t>
            </w:r>
          </w:p>
        </w:tc>
        <w:tc>
          <w:tcPr>
            <w:tcW w:w="588" w:type="pct"/>
            <w:tcBorders>
              <w:top w:val="nil"/>
              <w:left w:val="nil"/>
              <w:bottom w:val="nil"/>
              <w:right w:val="nil"/>
            </w:tcBorders>
            <w:shd w:val="clear" w:color="000000" w:fill="D8E4BC"/>
            <w:noWrap/>
            <w:vAlign w:val="center"/>
            <w:hideMark/>
          </w:tcPr>
          <w:p w14:paraId="044046F9"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4</w:t>
            </w:r>
          </w:p>
        </w:tc>
        <w:tc>
          <w:tcPr>
            <w:tcW w:w="666" w:type="pct"/>
            <w:tcBorders>
              <w:top w:val="nil"/>
              <w:left w:val="nil"/>
              <w:bottom w:val="nil"/>
              <w:right w:val="nil"/>
            </w:tcBorders>
            <w:shd w:val="clear" w:color="000000" w:fill="D8E4BC"/>
            <w:noWrap/>
            <w:vAlign w:val="center"/>
            <w:hideMark/>
          </w:tcPr>
          <w:p w14:paraId="30EF7B26"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1.432</w:t>
            </w:r>
          </w:p>
        </w:tc>
        <w:tc>
          <w:tcPr>
            <w:tcW w:w="588" w:type="pct"/>
            <w:tcBorders>
              <w:top w:val="nil"/>
              <w:left w:val="nil"/>
              <w:bottom w:val="nil"/>
              <w:right w:val="nil"/>
            </w:tcBorders>
            <w:shd w:val="clear" w:color="auto" w:fill="auto"/>
            <w:noWrap/>
            <w:vAlign w:val="center"/>
            <w:hideMark/>
          </w:tcPr>
          <w:p w14:paraId="6E543F96"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19</w:t>
            </w:r>
          </w:p>
        </w:tc>
        <w:tc>
          <w:tcPr>
            <w:tcW w:w="666" w:type="pct"/>
            <w:tcBorders>
              <w:top w:val="nil"/>
              <w:left w:val="nil"/>
              <w:bottom w:val="nil"/>
              <w:right w:val="nil"/>
            </w:tcBorders>
            <w:shd w:val="clear" w:color="auto" w:fill="auto"/>
            <w:noWrap/>
            <w:vAlign w:val="center"/>
            <w:hideMark/>
          </w:tcPr>
          <w:p w14:paraId="31185514"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6.180</w:t>
            </w:r>
          </w:p>
        </w:tc>
        <w:tc>
          <w:tcPr>
            <w:tcW w:w="588" w:type="pct"/>
            <w:tcBorders>
              <w:top w:val="nil"/>
              <w:left w:val="nil"/>
              <w:bottom w:val="nil"/>
              <w:right w:val="nil"/>
            </w:tcBorders>
            <w:shd w:val="clear" w:color="auto" w:fill="auto"/>
            <w:noWrap/>
            <w:vAlign w:val="center"/>
            <w:hideMark/>
          </w:tcPr>
          <w:p w14:paraId="0D84B636"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21,1%</w:t>
            </w:r>
          </w:p>
        </w:tc>
        <w:tc>
          <w:tcPr>
            <w:tcW w:w="666" w:type="pct"/>
            <w:tcBorders>
              <w:top w:val="nil"/>
              <w:left w:val="nil"/>
              <w:bottom w:val="nil"/>
              <w:right w:val="nil"/>
            </w:tcBorders>
            <w:shd w:val="clear" w:color="auto" w:fill="auto"/>
            <w:noWrap/>
            <w:vAlign w:val="center"/>
            <w:hideMark/>
          </w:tcPr>
          <w:p w14:paraId="374EF635"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23,2%</w:t>
            </w:r>
          </w:p>
        </w:tc>
      </w:tr>
      <w:tr w:rsidR="00EC790A" w:rsidRPr="001B044E" w14:paraId="3EA17CDF" w14:textId="77777777" w:rsidTr="001B044E">
        <w:trPr>
          <w:trHeight w:val="20"/>
        </w:trPr>
        <w:tc>
          <w:tcPr>
            <w:tcW w:w="1238" w:type="pct"/>
            <w:tcBorders>
              <w:top w:val="nil"/>
              <w:left w:val="nil"/>
              <w:bottom w:val="nil"/>
              <w:right w:val="nil"/>
            </w:tcBorders>
            <w:shd w:val="clear" w:color="auto" w:fill="auto"/>
            <w:noWrap/>
            <w:vAlign w:val="center"/>
            <w:hideMark/>
          </w:tcPr>
          <w:p w14:paraId="47EAAB95"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Montagna</w:t>
            </w:r>
          </w:p>
        </w:tc>
        <w:tc>
          <w:tcPr>
            <w:tcW w:w="588" w:type="pct"/>
            <w:tcBorders>
              <w:top w:val="nil"/>
              <w:left w:val="nil"/>
              <w:bottom w:val="nil"/>
              <w:right w:val="nil"/>
            </w:tcBorders>
            <w:shd w:val="clear" w:color="000000" w:fill="D8E4BC"/>
            <w:noWrap/>
            <w:vAlign w:val="center"/>
            <w:hideMark/>
          </w:tcPr>
          <w:p w14:paraId="10C55C8E"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3</w:t>
            </w:r>
          </w:p>
        </w:tc>
        <w:tc>
          <w:tcPr>
            <w:tcW w:w="666" w:type="pct"/>
            <w:tcBorders>
              <w:top w:val="nil"/>
              <w:left w:val="nil"/>
              <w:bottom w:val="nil"/>
              <w:right w:val="nil"/>
            </w:tcBorders>
            <w:shd w:val="clear" w:color="000000" w:fill="D8E4BC"/>
            <w:noWrap/>
            <w:vAlign w:val="center"/>
            <w:hideMark/>
          </w:tcPr>
          <w:p w14:paraId="7E7C7CDD"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846</w:t>
            </w:r>
          </w:p>
        </w:tc>
        <w:tc>
          <w:tcPr>
            <w:tcW w:w="588" w:type="pct"/>
            <w:tcBorders>
              <w:top w:val="nil"/>
              <w:left w:val="nil"/>
              <w:bottom w:val="nil"/>
              <w:right w:val="nil"/>
            </w:tcBorders>
            <w:shd w:val="clear" w:color="auto" w:fill="auto"/>
            <w:noWrap/>
            <w:vAlign w:val="center"/>
            <w:hideMark/>
          </w:tcPr>
          <w:p w14:paraId="08CF1CDB"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19</w:t>
            </w:r>
          </w:p>
        </w:tc>
        <w:tc>
          <w:tcPr>
            <w:tcW w:w="666" w:type="pct"/>
            <w:tcBorders>
              <w:top w:val="nil"/>
              <w:left w:val="nil"/>
              <w:bottom w:val="nil"/>
              <w:right w:val="nil"/>
            </w:tcBorders>
            <w:shd w:val="clear" w:color="auto" w:fill="auto"/>
            <w:noWrap/>
            <w:vAlign w:val="center"/>
            <w:hideMark/>
          </w:tcPr>
          <w:p w14:paraId="0C92A6B3"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3.828</w:t>
            </w:r>
          </w:p>
        </w:tc>
        <w:tc>
          <w:tcPr>
            <w:tcW w:w="588" w:type="pct"/>
            <w:tcBorders>
              <w:top w:val="nil"/>
              <w:left w:val="nil"/>
              <w:bottom w:val="nil"/>
              <w:right w:val="nil"/>
            </w:tcBorders>
            <w:shd w:val="clear" w:color="auto" w:fill="auto"/>
            <w:noWrap/>
            <w:vAlign w:val="center"/>
            <w:hideMark/>
          </w:tcPr>
          <w:p w14:paraId="7111C9C9"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15,8%</w:t>
            </w:r>
          </w:p>
        </w:tc>
        <w:tc>
          <w:tcPr>
            <w:tcW w:w="666" w:type="pct"/>
            <w:tcBorders>
              <w:top w:val="nil"/>
              <w:left w:val="nil"/>
              <w:bottom w:val="nil"/>
              <w:right w:val="nil"/>
            </w:tcBorders>
            <w:shd w:val="clear" w:color="auto" w:fill="auto"/>
            <w:noWrap/>
            <w:vAlign w:val="center"/>
            <w:hideMark/>
          </w:tcPr>
          <w:p w14:paraId="52771D07"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22,1%</w:t>
            </w:r>
          </w:p>
        </w:tc>
      </w:tr>
      <w:tr w:rsidR="00EC790A" w:rsidRPr="001B044E" w14:paraId="3FF014AB" w14:textId="77777777" w:rsidTr="001B044E">
        <w:trPr>
          <w:trHeight w:val="20"/>
        </w:trPr>
        <w:tc>
          <w:tcPr>
            <w:tcW w:w="1238" w:type="pct"/>
            <w:tcBorders>
              <w:top w:val="nil"/>
              <w:left w:val="nil"/>
              <w:bottom w:val="single" w:sz="4" w:space="0" w:color="auto"/>
              <w:right w:val="nil"/>
            </w:tcBorders>
            <w:shd w:val="clear" w:color="auto" w:fill="auto"/>
            <w:noWrap/>
            <w:vAlign w:val="center"/>
            <w:hideMark/>
          </w:tcPr>
          <w:p w14:paraId="54403CFE"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Termale</w:t>
            </w:r>
          </w:p>
        </w:tc>
        <w:tc>
          <w:tcPr>
            <w:tcW w:w="588" w:type="pct"/>
            <w:tcBorders>
              <w:top w:val="nil"/>
              <w:left w:val="nil"/>
              <w:bottom w:val="single" w:sz="4" w:space="0" w:color="auto"/>
              <w:right w:val="nil"/>
            </w:tcBorders>
            <w:shd w:val="clear" w:color="000000" w:fill="D8E4BC"/>
            <w:noWrap/>
            <w:vAlign w:val="center"/>
            <w:hideMark/>
          </w:tcPr>
          <w:p w14:paraId="3F70CF24"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0</w:t>
            </w:r>
          </w:p>
        </w:tc>
        <w:tc>
          <w:tcPr>
            <w:tcW w:w="666" w:type="pct"/>
            <w:tcBorders>
              <w:top w:val="nil"/>
              <w:left w:val="nil"/>
              <w:bottom w:val="single" w:sz="4" w:space="0" w:color="auto"/>
              <w:right w:val="nil"/>
            </w:tcBorders>
            <w:shd w:val="clear" w:color="000000" w:fill="D8E4BC"/>
            <w:noWrap/>
            <w:vAlign w:val="center"/>
            <w:hideMark/>
          </w:tcPr>
          <w:p w14:paraId="65C75D03"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0</w:t>
            </w:r>
          </w:p>
        </w:tc>
        <w:tc>
          <w:tcPr>
            <w:tcW w:w="588" w:type="pct"/>
            <w:tcBorders>
              <w:top w:val="nil"/>
              <w:left w:val="nil"/>
              <w:bottom w:val="single" w:sz="4" w:space="0" w:color="auto"/>
              <w:right w:val="nil"/>
            </w:tcBorders>
            <w:shd w:val="clear" w:color="auto" w:fill="auto"/>
            <w:noWrap/>
            <w:vAlign w:val="center"/>
            <w:hideMark/>
          </w:tcPr>
          <w:p w14:paraId="2C481A20"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5</w:t>
            </w:r>
          </w:p>
        </w:tc>
        <w:tc>
          <w:tcPr>
            <w:tcW w:w="666" w:type="pct"/>
            <w:tcBorders>
              <w:top w:val="nil"/>
              <w:left w:val="nil"/>
              <w:bottom w:val="single" w:sz="4" w:space="0" w:color="auto"/>
              <w:right w:val="nil"/>
            </w:tcBorders>
            <w:shd w:val="clear" w:color="auto" w:fill="auto"/>
            <w:noWrap/>
            <w:vAlign w:val="center"/>
            <w:hideMark/>
          </w:tcPr>
          <w:p w14:paraId="651F15E3"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2.732</w:t>
            </w:r>
          </w:p>
        </w:tc>
        <w:tc>
          <w:tcPr>
            <w:tcW w:w="588" w:type="pct"/>
            <w:tcBorders>
              <w:top w:val="nil"/>
              <w:left w:val="nil"/>
              <w:bottom w:val="single" w:sz="4" w:space="0" w:color="auto"/>
              <w:right w:val="nil"/>
            </w:tcBorders>
            <w:shd w:val="clear" w:color="auto" w:fill="auto"/>
            <w:noWrap/>
            <w:vAlign w:val="center"/>
            <w:hideMark/>
          </w:tcPr>
          <w:p w14:paraId="7497A49E"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0,0%</w:t>
            </w:r>
          </w:p>
        </w:tc>
        <w:tc>
          <w:tcPr>
            <w:tcW w:w="666" w:type="pct"/>
            <w:tcBorders>
              <w:top w:val="nil"/>
              <w:left w:val="nil"/>
              <w:bottom w:val="single" w:sz="4" w:space="0" w:color="auto"/>
              <w:right w:val="nil"/>
            </w:tcBorders>
            <w:shd w:val="clear" w:color="auto" w:fill="auto"/>
            <w:noWrap/>
            <w:vAlign w:val="center"/>
            <w:hideMark/>
          </w:tcPr>
          <w:p w14:paraId="7893249A"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0,0%</w:t>
            </w:r>
          </w:p>
        </w:tc>
      </w:tr>
      <w:tr w:rsidR="00EC790A" w:rsidRPr="001B044E" w14:paraId="72ACE3B2" w14:textId="77777777" w:rsidTr="001B044E">
        <w:trPr>
          <w:trHeight w:val="20"/>
        </w:trPr>
        <w:tc>
          <w:tcPr>
            <w:tcW w:w="1238" w:type="pct"/>
            <w:tcBorders>
              <w:top w:val="nil"/>
              <w:left w:val="nil"/>
              <w:bottom w:val="single" w:sz="8" w:space="0" w:color="auto"/>
              <w:right w:val="nil"/>
            </w:tcBorders>
            <w:shd w:val="clear" w:color="auto" w:fill="auto"/>
            <w:noWrap/>
            <w:vAlign w:val="center"/>
            <w:hideMark/>
          </w:tcPr>
          <w:p w14:paraId="7855AD2C" w14:textId="3D31A555" w:rsidR="00EC790A" w:rsidRPr="001B044E" w:rsidRDefault="001B044E" w:rsidP="00EC790A">
            <w:pPr>
              <w:rPr>
                <w:rFonts w:ascii="Arial Narrow" w:eastAsia="Times New Roman" w:hAnsi="Arial Narrow" w:cs="Times New Roman"/>
                <w:sz w:val="18"/>
                <w:szCs w:val="18"/>
              </w:rPr>
            </w:pPr>
            <w:r>
              <w:rPr>
                <w:rFonts w:ascii="Arial Narrow" w:eastAsia="Times New Roman" w:hAnsi="Arial Narrow" w:cs="Times New Roman"/>
                <w:sz w:val="18"/>
                <w:szCs w:val="18"/>
              </w:rPr>
              <w:t>Tipicità Toscana</w:t>
            </w:r>
          </w:p>
        </w:tc>
        <w:tc>
          <w:tcPr>
            <w:tcW w:w="588" w:type="pct"/>
            <w:tcBorders>
              <w:top w:val="nil"/>
              <w:left w:val="nil"/>
              <w:bottom w:val="single" w:sz="8" w:space="0" w:color="auto"/>
              <w:right w:val="nil"/>
            </w:tcBorders>
            <w:shd w:val="clear" w:color="000000" w:fill="D8E4BC"/>
            <w:noWrap/>
            <w:vAlign w:val="center"/>
            <w:hideMark/>
          </w:tcPr>
          <w:p w14:paraId="09E17503"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13</w:t>
            </w:r>
          </w:p>
        </w:tc>
        <w:tc>
          <w:tcPr>
            <w:tcW w:w="666" w:type="pct"/>
            <w:tcBorders>
              <w:top w:val="nil"/>
              <w:left w:val="nil"/>
              <w:bottom w:val="single" w:sz="8" w:space="0" w:color="auto"/>
              <w:right w:val="nil"/>
            </w:tcBorders>
            <w:shd w:val="clear" w:color="000000" w:fill="D8E4BC"/>
            <w:noWrap/>
            <w:vAlign w:val="center"/>
            <w:hideMark/>
          </w:tcPr>
          <w:p w14:paraId="2952A9AA"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5.520</w:t>
            </w:r>
          </w:p>
        </w:tc>
        <w:tc>
          <w:tcPr>
            <w:tcW w:w="588" w:type="pct"/>
            <w:tcBorders>
              <w:top w:val="nil"/>
              <w:left w:val="nil"/>
              <w:bottom w:val="single" w:sz="8" w:space="0" w:color="auto"/>
              <w:right w:val="nil"/>
            </w:tcBorders>
            <w:shd w:val="clear" w:color="auto" w:fill="auto"/>
            <w:noWrap/>
            <w:vAlign w:val="center"/>
            <w:hideMark/>
          </w:tcPr>
          <w:p w14:paraId="6343B3BA"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55</w:t>
            </w:r>
          </w:p>
        </w:tc>
        <w:tc>
          <w:tcPr>
            <w:tcW w:w="666" w:type="pct"/>
            <w:tcBorders>
              <w:top w:val="nil"/>
              <w:left w:val="nil"/>
              <w:bottom w:val="single" w:sz="8" w:space="0" w:color="auto"/>
              <w:right w:val="nil"/>
            </w:tcBorders>
            <w:shd w:val="clear" w:color="auto" w:fill="auto"/>
            <w:noWrap/>
            <w:vAlign w:val="center"/>
            <w:hideMark/>
          </w:tcPr>
          <w:p w14:paraId="3752BFA9"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25.452</w:t>
            </w:r>
          </w:p>
        </w:tc>
        <w:tc>
          <w:tcPr>
            <w:tcW w:w="588" w:type="pct"/>
            <w:tcBorders>
              <w:top w:val="nil"/>
              <w:left w:val="nil"/>
              <w:bottom w:val="single" w:sz="8" w:space="0" w:color="auto"/>
              <w:right w:val="nil"/>
            </w:tcBorders>
            <w:shd w:val="clear" w:color="auto" w:fill="auto"/>
            <w:noWrap/>
            <w:vAlign w:val="center"/>
            <w:hideMark/>
          </w:tcPr>
          <w:p w14:paraId="7C8F8F1B"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23,6%</w:t>
            </w:r>
          </w:p>
        </w:tc>
        <w:tc>
          <w:tcPr>
            <w:tcW w:w="666" w:type="pct"/>
            <w:tcBorders>
              <w:top w:val="nil"/>
              <w:left w:val="nil"/>
              <w:bottom w:val="single" w:sz="8" w:space="0" w:color="auto"/>
              <w:right w:val="nil"/>
            </w:tcBorders>
            <w:shd w:val="clear" w:color="auto" w:fill="auto"/>
            <w:noWrap/>
            <w:vAlign w:val="center"/>
            <w:hideMark/>
          </w:tcPr>
          <w:p w14:paraId="2A720169"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21,7%</w:t>
            </w:r>
          </w:p>
        </w:tc>
      </w:tr>
      <w:tr w:rsidR="00EC790A" w:rsidRPr="001B044E" w14:paraId="4BF8D971" w14:textId="77777777" w:rsidTr="001B044E">
        <w:trPr>
          <w:trHeight w:val="20"/>
        </w:trPr>
        <w:tc>
          <w:tcPr>
            <w:tcW w:w="1238" w:type="pct"/>
            <w:tcBorders>
              <w:top w:val="nil"/>
              <w:left w:val="nil"/>
              <w:bottom w:val="nil"/>
              <w:right w:val="nil"/>
            </w:tcBorders>
            <w:shd w:val="clear" w:color="auto" w:fill="auto"/>
            <w:noWrap/>
            <w:vAlign w:val="center"/>
            <w:hideMark/>
          </w:tcPr>
          <w:p w14:paraId="6DA81999"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Aree attrezzate</w:t>
            </w:r>
          </w:p>
        </w:tc>
        <w:tc>
          <w:tcPr>
            <w:tcW w:w="588" w:type="pct"/>
            <w:tcBorders>
              <w:top w:val="nil"/>
              <w:left w:val="nil"/>
              <w:bottom w:val="nil"/>
              <w:right w:val="nil"/>
            </w:tcBorders>
            <w:shd w:val="clear" w:color="000000" w:fill="D8E4BC"/>
            <w:noWrap/>
            <w:vAlign w:val="center"/>
            <w:hideMark/>
          </w:tcPr>
          <w:p w14:paraId="64EAFF30"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0</w:t>
            </w:r>
          </w:p>
        </w:tc>
        <w:tc>
          <w:tcPr>
            <w:tcW w:w="666" w:type="pct"/>
            <w:tcBorders>
              <w:top w:val="nil"/>
              <w:left w:val="nil"/>
              <w:bottom w:val="nil"/>
              <w:right w:val="nil"/>
            </w:tcBorders>
            <w:shd w:val="clear" w:color="000000" w:fill="D8E4BC"/>
            <w:noWrap/>
            <w:vAlign w:val="center"/>
            <w:hideMark/>
          </w:tcPr>
          <w:p w14:paraId="264CB0FA"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100</w:t>
            </w:r>
          </w:p>
        </w:tc>
        <w:tc>
          <w:tcPr>
            <w:tcW w:w="588" w:type="pct"/>
            <w:tcBorders>
              <w:top w:val="nil"/>
              <w:left w:val="nil"/>
              <w:bottom w:val="nil"/>
              <w:right w:val="nil"/>
            </w:tcBorders>
            <w:shd w:val="clear" w:color="auto" w:fill="auto"/>
            <w:noWrap/>
            <w:vAlign w:val="center"/>
            <w:hideMark/>
          </w:tcPr>
          <w:p w14:paraId="672E26CF"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9</w:t>
            </w:r>
          </w:p>
        </w:tc>
        <w:tc>
          <w:tcPr>
            <w:tcW w:w="666" w:type="pct"/>
            <w:tcBorders>
              <w:top w:val="nil"/>
              <w:left w:val="nil"/>
              <w:bottom w:val="nil"/>
              <w:right w:val="nil"/>
            </w:tcBorders>
            <w:shd w:val="clear" w:color="auto" w:fill="auto"/>
            <w:noWrap/>
            <w:vAlign w:val="center"/>
            <w:hideMark/>
          </w:tcPr>
          <w:p w14:paraId="7093B1AE" w14:textId="77777777" w:rsidR="00EC790A" w:rsidRPr="001B044E" w:rsidRDefault="00EC790A" w:rsidP="00EC790A">
            <w:pPr>
              <w:jc w:val="right"/>
              <w:rPr>
                <w:rFonts w:ascii="Arial Narrow" w:eastAsia="Times New Roman" w:hAnsi="Arial Narrow" w:cs="Times New Roman"/>
                <w:sz w:val="18"/>
                <w:szCs w:val="18"/>
              </w:rPr>
            </w:pPr>
          </w:p>
        </w:tc>
        <w:tc>
          <w:tcPr>
            <w:tcW w:w="588" w:type="pct"/>
            <w:tcBorders>
              <w:top w:val="nil"/>
              <w:left w:val="nil"/>
              <w:bottom w:val="nil"/>
              <w:right w:val="nil"/>
            </w:tcBorders>
            <w:shd w:val="clear" w:color="auto" w:fill="auto"/>
            <w:noWrap/>
            <w:vAlign w:val="center"/>
            <w:hideMark/>
          </w:tcPr>
          <w:p w14:paraId="6D146249"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0,0%</w:t>
            </w:r>
          </w:p>
        </w:tc>
        <w:tc>
          <w:tcPr>
            <w:tcW w:w="666" w:type="pct"/>
            <w:tcBorders>
              <w:top w:val="nil"/>
              <w:left w:val="nil"/>
              <w:bottom w:val="nil"/>
              <w:right w:val="nil"/>
            </w:tcBorders>
            <w:shd w:val="clear" w:color="auto" w:fill="auto"/>
            <w:noWrap/>
            <w:vAlign w:val="center"/>
            <w:hideMark/>
          </w:tcPr>
          <w:p w14:paraId="420B70F2" w14:textId="77777777" w:rsidR="00EC790A" w:rsidRPr="001B044E" w:rsidRDefault="00EC790A" w:rsidP="00EC790A">
            <w:pPr>
              <w:rPr>
                <w:rFonts w:ascii="Arial Narrow" w:eastAsia="Times New Roman" w:hAnsi="Arial Narrow" w:cs="Times New Roman"/>
                <w:sz w:val="18"/>
                <w:szCs w:val="18"/>
              </w:rPr>
            </w:pPr>
          </w:p>
        </w:tc>
      </w:tr>
      <w:tr w:rsidR="00EC790A" w:rsidRPr="001B044E" w14:paraId="3F60DF32" w14:textId="77777777" w:rsidTr="001B044E">
        <w:trPr>
          <w:trHeight w:val="20"/>
        </w:trPr>
        <w:tc>
          <w:tcPr>
            <w:tcW w:w="1238" w:type="pct"/>
            <w:tcBorders>
              <w:top w:val="nil"/>
              <w:left w:val="nil"/>
              <w:bottom w:val="nil"/>
              <w:right w:val="nil"/>
            </w:tcBorders>
            <w:shd w:val="clear" w:color="auto" w:fill="auto"/>
            <w:noWrap/>
            <w:vAlign w:val="center"/>
            <w:hideMark/>
          </w:tcPr>
          <w:p w14:paraId="24BAA29D"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Agri-campeggio</w:t>
            </w:r>
          </w:p>
        </w:tc>
        <w:tc>
          <w:tcPr>
            <w:tcW w:w="588" w:type="pct"/>
            <w:tcBorders>
              <w:top w:val="nil"/>
              <w:left w:val="nil"/>
              <w:bottom w:val="nil"/>
              <w:right w:val="nil"/>
            </w:tcBorders>
            <w:shd w:val="clear" w:color="000000" w:fill="D8E4BC"/>
            <w:noWrap/>
            <w:vAlign w:val="center"/>
            <w:hideMark/>
          </w:tcPr>
          <w:p w14:paraId="26FD1D5B"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w:t>
            </w:r>
          </w:p>
        </w:tc>
        <w:tc>
          <w:tcPr>
            <w:tcW w:w="666" w:type="pct"/>
            <w:tcBorders>
              <w:top w:val="nil"/>
              <w:left w:val="nil"/>
              <w:bottom w:val="nil"/>
              <w:right w:val="nil"/>
            </w:tcBorders>
            <w:shd w:val="clear" w:color="000000" w:fill="D8E4BC"/>
            <w:noWrap/>
            <w:vAlign w:val="center"/>
            <w:hideMark/>
          </w:tcPr>
          <w:p w14:paraId="575BE800"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215</w:t>
            </w:r>
          </w:p>
        </w:tc>
        <w:tc>
          <w:tcPr>
            <w:tcW w:w="588" w:type="pct"/>
            <w:tcBorders>
              <w:top w:val="nil"/>
              <w:left w:val="nil"/>
              <w:bottom w:val="nil"/>
              <w:right w:val="nil"/>
            </w:tcBorders>
            <w:shd w:val="clear" w:color="auto" w:fill="auto"/>
            <w:noWrap/>
            <w:vAlign w:val="center"/>
            <w:hideMark/>
          </w:tcPr>
          <w:p w14:paraId="7BE02DD3"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38</w:t>
            </w:r>
          </w:p>
        </w:tc>
        <w:tc>
          <w:tcPr>
            <w:tcW w:w="666" w:type="pct"/>
            <w:tcBorders>
              <w:top w:val="nil"/>
              <w:left w:val="nil"/>
              <w:bottom w:val="nil"/>
              <w:right w:val="nil"/>
            </w:tcBorders>
            <w:shd w:val="clear" w:color="auto" w:fill="auto"/>
            <w:noWrap/>
            <w:vAlign w:val="center"/>
            <w:hideMark/>
          </w:tcPr>
          <w:p w14:paraId="624AF215" w14:textId="77777777" w:rsidR="00EC790A" w:rsidRPr="001B044E" w:rsidRDefault="00EC790A" w:rsidP="00EC790A">
            <w:pPr>
              <w:jc w:val="right"/>
              <w:rPr>
                <w:rFonts w:ascii="Arial Narrow" w:eastAsia="Times New Roman" w:hAnsi="Arial Narrow" w:cs="Times New Roman"/>
                <w:sz w:val="18"/>
                <w:szCs w:val="18"/>
              </w:rPr>
            </w:pPr>
          </w:p>
        </w:tc>
        <w:tc>
          <w:tcPr>
            <w:tcW w:w="588" w:type="pct"/>
            <w:tcBorders>
              <w:top w:val="nil"/>
              <w:left w:val="nil"/>
              <w:bottom w:val="nil"/>
              <w:right w:val="nil"/>
            </w:tcBorders>
            <w:shd w:val="clear" w:color="auto" w:fill="auto"/>
            <w:noWrap/>
            <w:vAlign w:val="center"/>
            <w:hideMark/>
          </w:tcPr>
          <w:p w14:paraId="70360856"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5,3%</w:t>
            </w:r>
          </w:p>
        </w:tc>
        <w:tc>
          <w:tcPr>
            <w:tcW w:w="666" w:type="pct"/>
            <w:tcBorders>
              <w:top w:val="nil"/>
              <w:left w:val="nil"/>
              <w:bottom w:val="nil"/>
              <w:right w:val="nil"/>
            </w:tcBorders>
            <w:shd w:val="clear" w:color="auto" w:fill="auto"/>
            <w:noWrap/>
            <w:vAlign w:val="center"/>
            <w:hideMark/>
          </w:tcPr>
          <w:p w14:paraId="63EABCFB" w14:textId="77777777" w:rsidR="00EC790A" w:rsidRPr="001B044E" w:rsidRDefault="00EC790A" w:rsidP="00EC790A">
            <w:pPr>
              <w:rPr>
                <w:rFonts w:ascii="Arial Narrow" w:eastAsia="Times New Roman" w:hAnsi="Arial Narrow" w:cs="Times New Roman"/>
                <w:sz w:val="18"/>
                <w:szCs w:val="18"/>
              </w:rPr>
            </w:pPr>
          </w:p>
        </w:tc>
      </w:tr>
      <w:tr w:rsidR="00EC790A" w:rsidRPr="001B044E" w14:paraId="1F22AF5B" w14:textId="77777777" w:rsidTr="001B044E">
        <w:trPr>
          <w:trHeight w:val="20"/>
        </w:trPr>
        <w:tc>
          <w:tcPr>
            <w:tcW w:w="1238" w:type="pct"/>
            <w:tcBorders>
              <w:top w:val="nil"/>
              <w:left w:val="nil"/>
              <w:bottom w:val="single" w:sz="8" w:space="0" w:color="auto"/>
              <w:right w:val="nil"/>
            </w:tcBorders>
            <w:shd w:val="clear" w:color="auto" w:fill="auto"/>
            <w:noWrap/>
            <w:vAlign w:val="center"/>
            <w:hideMark/>
          </w:tcPr>
          <w:p w14:paraId="025F5E3B"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Aree sosta</w:t>
            </w:r>
          </w:p>
        </w:tc>
        <w:tc>
          <w:tcPr>
            <w:tcW w:w="588" w:type="pct"/>
            <w:tcBorders>
              <w:top w:val="nil"/>
              <w:left w:val="nil"/>
              <w:bottom w:val="single" w:sz="8" w:space="0" w:color="auto"/>
              <w:right w:val="nil"/>
            </w:tcBorders>
            <w:shd w:val="clear" w:color="000000" w:fill="D8E4BC"/>
            <w:noWrap/>
            <w:vAlign w:val="center"/>
            <w:hideMark/>
          </w:tcPr>
          <w:p w14:paraId="1FAEA17A"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2</w:t>
            </w:r>
          </w:p>
        </w:tc>
        <w:tc>
          <w:tcPr>
            <w:tcW w:w="666" w:type="pct"/>
            <w:tcBorders>
              <w:top w:val="nil"/>
              <w:left w:val="nil"/>
              <w:bottom w:val="single" w:sz="8" w:space="0" w:color="auto"/>
              <w:right w:val="nil"/>
            </w:tcBorders>
            <w:shd w:val="clear" w:color="000000" w:fill="D8E4BC"/>
            <w:noWrap/>
            <w:vAlign w:val="center"/>
            <w:hideMark/>
          </w:tcPr>
          <w:p w14:paraId="097586F7"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480</w:t>
            </w:r>
          </w:p>
        </w:tc>
        <w:tc>
          <w:tcPr>
            <w:tcW w:w="588" w:type="pct"/>
            <w:tcBorders>
              <w:top w:val="nil"/>
              <w:left w:val="nil"/>
              <w:bottom w:val="single" w:sz="8" w:space="0" w:color="auto"/>
              <w:right w:val="nil"/>
            </w:tcBorders>
            <w:shd w:val="clear" w:color="auto" w:fill="auto"/>
            <w:noWrap/>
            <w:vAlign w:val="center"/>
            <w:hideMark/>
          </w:tcPr>
          <w:p w14:paraId="7CC75A57"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44</w:t>
            </w:r>
          </w:p>
        </w:tc>
        <w:tc>
          <w:tcPr>
            <w:tcW w:w="666" w:type="pct"/>
            <w:tcBorders>
              <w:top w:val="nil"/>
              <w:left w:val="nil"/>
              <w:bottom w:val="single" w:sz="8" w:space="0" w:color="auto"/>
              <w:right w:val="nil"/>
            </w:tcBorders>
            <w:shd w:val="clear" w:color="auto" w:fill="auto"/>
            <w:noWrap/>
            <w:vAlign w:val="center"/>
            <w:hideMark/>
          </w:tcPr>
          <w:p w14:paraId="06E1A6AF"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 </w:t>
            </w:r>
          </w:p>
        </w:tc>
        <w:tc>
          <w:tcPr>
            <w:tcW w:w="588" w:type="pct"/>
            <w:tcBorders>
              <w:top w:val="nil"/>
              <w:left w:val="nil"/>
              <w:bottom w:val="single" w:sz="8" w:space="0" w:color="auto"/>
              <w:right w:val="nil"/>
            </w:tcBorders>
            <w:shd w:val="clear" w:color="auto" w:fill="auto"/>
            <w:noWrap/>
            <w:vAlign w:val="center"/>
            <w:hideMark/>
          </w:tcPr>
          <w:p w14:paraId="19C42A6B" w14:textId="77777777" w:rsidR="00EC790A" w:rsidRPr="001B044E" w:rsidRDefault="00EC790A" w:rsidP="00EC790A">
            <w:pPr>
              <w:jc w:val="right"/>
              <w:rPr>
                <w:rFonts w:ascii="Arial Narrow" w:eastAsia="Times New Roman" w:hAnsi="Arial Narrow" w:cs="Times New Roman"/>
                <w:sz w:val="18"/>
                <w:szCs w:val="18"/>
              </w:rPr>
            </w:pPr>
            <w:r w:rsidRPr="001B044E">
              <w:rPr>
                <w:rFonts w:ascii="Arial Narrow" w:eastAsia="Times New Roman" w:hAnsi="Arial Narrow" w:cs="Times New Roman"/>
                <w:sz w:val="18"/>
                <w:szCs w:val="18"/>
              </w:rPr>
              <w:t>4,5%</w:t>
            </w:r>
          </w:p>
        </w:tc>
        <w:tc>
          <w:tcPr>
            <w:tcW w:w="666" w:type="pct"/>
            <w:tcBorders>
              <w:top w:val="nil"/>
              <w:left w:val="nil"/>
              <w:bottom w:val="single" w:sz="8" w:space="0" w:color="auto"/>
              <w:right w:val="nil"/>
            </w:tcBorders>
            <w:shd w:val="clear" w:color="auto" w:fill="auto"/>
            <w:noWrap/>
            <w:vAlign w:val="center"/>
            <w:hideMark/>
          </w:tcPr>
          <w:p w14:paraId="159C101C" w14:textId="77777777" w:rsidR="00EC790A" w:rsidRPr="001B044E" w:rsidRDefault="00EC790A" w:rsidP="00EC790A">
            <w:pPr>
              <w:rPr>
                <w:rFonts w:ascii="Arial Narrow" w:eastAsia="Times New Roman" w:hAnsi="Arial Narrow" w:cs="Times New Roman"/>
                <w:sz w:val="18"/>
                <w:szCs w:val="18"/>
              </w:rPr>
            </w:pPr>
            <w:r w:rsidRPr="001B044E">
              <w:rPr>
                <w:rFonts w:ascii="Arial Narrow" w:eastAsia="Times New Roman" w:hAnsi="Arial Narrow" w:cs="Times New Roman"/>
                <w:sz w:val="18"/>
                <w:szCs w:val="18"/>
              </w:rPr>
              <w:t> </w:t>
            </w:r>
          </w:p>
        </w:tc>
      </w:tr>
      <w:tr w:rsidR="00EC790A" w:rsidRPr="001B044E" w14:paraId="7FF064E5" w14:textId="77777777" w:rsidTr="001B044E">
        <w:trPr>
          <w:trHeight w:val="20"/>
        </w:trPr>
        <w:tc>
          <w:tcPr>
            <w:tcW w:w="1238" w:type="pct"/>
            <w:tcBorders>
              <w:top w:val="nil"/>
              <w:left w:val="nil"/>
              <w:bottom w:val="single" w:sz="8" w:space="0" w:color="auto"/>
              <w:right w:val="nil"/>
            </w:tcBorders>
            <w:shd w:val="clear" w:color="auto" w:fill="auto"/>
            <w:noWrap/>
            <w:vAlign w:val="center"/>
            <w:hideMark/>
          </w:tcPr>
          <w:p w14:paraId="10ADFDD8" w14:textId="77777777" w:rsidR="00EC790A" w:rsidRPr="001B044E" w:rsidRDefault="00EC790A" w:rsidP="00EC790A">
            <w:pPr>
              <w:rPr>
                <w:rFonts w:ascii="Arial Narrow" w:eastAsia="Times New Roman" w:hAnsi="Arial Narrow" w:cs="Times New Roman"/>
                <w:b/>
                <w:bCs/>
                <w:sz w:val="18"/>
                <w:szCs w:val="18"/>
              </w:rPr>
            </w:pPr>
            <w:r w:rsidRPr="001B044E">
              <w:rPr>
                <w:rFonts w:ascii="Arial Narrow" w:eastAsia="Times New Roman" w:hAnsi="Arial Narrow" w:cs="Times New Roman"/>
                <w:b/>
                <w:bCs/>
                <w:sz w:val="18"/>
                <w:szCs w:val="18"/>
              </w:rPr>
              <w:t>AREE OPEN AIR</w:t>
            </w:r>
          </w:p>
        </w:tc>
        <w:tc>
          <w:tcPr>
            <w:tcW w:w="588" w:type="pct"/>
            <w:tcBorders>
              <w:top w:val="nil"/>
              <w:left w:val="nil"/>
              <w:bottom w:val="single" w:sz="8" w:space="0" w:color="auto"/>
              <w:right w:val="nil"/>
            </w:tcBorders>
            <w:shd w:val="clear" w:color="000000" w:fill="D8E4BC"/>
            <w:noWrap/>
            <w:vAlign w:val="center"/>
            <w:hideMark/>
          </w:tcPr>
          <w:p w14:paraId="7DEFFB64" w14:textId="77777777" w:rsidR="00EC790A" w:rsidRPr="001B044E" w:rsidRDefault="00EC790A" w:rsidP="00EC790A">
            <w:pPr>
              <w:jc w:val="right"/>
              <w:rPr>
                <w:rFonts w:ascii="Arial Narrow" w:eastAsia="Times New Roman" w:hAnsi="Arial Narrow" w:cs="Times New Roman"/>
                <w:b/>
                <w:bCs/>
                <w:sz w:val="18"/>
                <w:szCs w:val="18"/>
              </w:rPr>
            </w:pPr>
            <w:r w:rsidRPr="001B044E">
              <w:rPr>
                <w:rFonts w:ascii="Arial Narrow" w:eastAsia="Times New Roman" w:hAnsi="Arial Narrow" w:cs="Times New Roman"/>
                <w:b/>
                <w:bCs/>
                <w:sz w:val="18"/>
                <w:szCs w:val="18"/>
              </w:rPr>
              <w:t>4</w:t>
            </w:r>
          </w:p>
        </w:tc>
        <w:tc>
          <w:tcPr>
            <w:tcW w:w="666" w:type="pct"/>
            <w:tcBorders>
              <w:top w:val="nil"/>
              <w:left w:val="nil"/>
              <w:bottom w:val="single" w:sz="8" w:space="0" w:color="auto"/>
              <w:right w:val="nil"/>
            </w:tcBorders>
            <w:shd w:val="clear" w:color="000000" w:fill="D8E4BC"/>
            <w:noWrap/>
            <w:vAlign w:val="center"/>
            <w:hideMark/>
          </w:tcPr>
          <w:p w14:paraId="7A8C26CF" w14:textId="77777777" w:rsidR="00EC790A" w:rsidRPr="001B044E" w:rsidRDefault="00EC790A" w:rsidP="00EC790A">
            <w:pPr>
              <w:jc w:val="right"/>
              <w:rPr>
                <w:rFonts w:ascii="Arial Narrow" w:eastAsia="Times New Roman" w:hAnsi="Arial Narrow" w:cs="Times New Roman"/>
                <w:b/>
                <w:bCs/>
                <w:sz w:val="18"/>
                <w:szCs w:val="18"/>
              </w:rPr>
            </w:pPr>
            <w:r w:rsidRPr="001B044E">
              <w:rPr>
                <w:rFonts w:ascii="Arial Narrow" w:eastAsia="Times New Roman" w:hAnsi="Arial Narrow" w:cs="Times New Roman"/>
                <w:b/>
                <w:bCs/>
                <w:sz w:val="18"/>
                <w:szCs w:val="18"/>
              </w:rPr>
              <w:t>795</w:t>
            </w:r>
          </w:p>
        </w:tc>
        <w:tc>
          <w:tcPr>
            <w:tcW w:w="588" w:type="pct"/>
            <w:tcBorders>
              <w:top w:val="nil"/>
              <w:left w:val="nil"/>
              <w:bottom w:val="single" w:sz="8" w:space="0" w:color="auto"/>
              <w:right w:val="nil"/>
            </w:tcBorders>
            <w:shd w:val="clear" w:color="auto" w:fill="auto"/>
            <w:noWrap/>
            <w:vAlign w:val="center"/>
            <w:hideMark/>
          </w:tcPr>
          <w:p w14:paraId="6DB9BA39" w14:textId="77777777" w:rsidR="00EC790A" w:rsidRPr="001B044E" w:rsidRDefault="00EC790A" w:rsidP="00EC790A">
            <w:pPr>
              <w:jc w:val="right"/>
              <w:rPr>
                <w:rFonts w:ascii="Arial Narrow" w:eastAsia="Times New Roman" w:hAnsi="Arial Narrow" w:cs="Times New Roman"/>
                <w:b/>
                <w:bCs/>
                <w:sz w:val="18"/>
                <w:szCs w:val="18"/>
              </w:rPr>
            </w:pPr>
            <w:r w:rsidRPr="001B044E">
              <w:rPr>
                <w:rFonts w:ascii="Arial Narrow" w:eastAsia="Times New Roman" w:hAnsi="Arial Narrow" w:cs="Times New Roman"/>
                <w:b/>
                <w:bCs/>
                <w:sz w:val="18"/>
                <w:szCs w:val="18"/>
              </w:rPr>
              <w:t>91</w:t>
            </w:r>
          </w:p>
        </w:tc>
        <w:tc>
          <w:tcPr>
            <w:tcW w:w="666" w:type="pct"/>
            <w:tcBorders>
              <w:top w:val="nil"/>
              <w:left w:val="nil"/>
              <w:bottom w:val="single" w:sz="8" w:space="0" w:color="auto"/>
              <w:right w:val="nil"/>
            </w:tcBorders>
            <w:shd w:val="clear" w:color="auto" w:fill="auto"/>
            <w:noWrap/>
            <w:vAlign w:val="center"/>
            <w:hideMark/>
          </w:tcPr>
          <w:p w14:paraId="092A139F" w14:textId="77777777" w:rsidR="00EC790A" w:rsidRPr="001B044E" w:rsidRDefault="00EC790A" w:rsidP="00EC790A">
            <w:pPr>
              <w:jc w:val="right"/>
              <w:rPr>
                <w:rFonts w:ascii="Arial Narrow" w:eastAsia="Times New Roman" w:hAnsi="Arial Narrow" w:cs="Times New Roman"/>
                <w:b/>
                <w:bCs/>
                <w:sz w:val="18"/>
                <w:szCs w:val="18"/>
              </w:rPr>
            </w:pPr>
            <w:r w:rsidRPr="001B044E">
              <w:rPr>
                <w:rFonts w:ascii="Arial Narrow" w:eastAsia="Times New Roman" w:hAnsi="Arial Narrow" w:cs="Times New Roman"/>
                <w:b/>
                <w:bCs/>
                <w:sz w:val="18"/>
                <w:szCs w:val="18"/>
              </w:rPr>
              <w:t> </w:t>
            </w:r>
          </w:p>
        </w:tc>
        <w:tc>
          <w:tcPr>
            <w:tcW w:w="588" w:type="pct"/>
            <w:tcBorders>
              <w:top w:val="nil"/>
              <w:left w:val="nil"/>
              <w:bottom w:val="single" w:sz="8" w:space="0" w:color="auto"/>
              <w:right w:val="nil"/>
            </w:tcBorders>
            <w:shd w:val="clear" w:color="auto" w:fill="auto"/>
            <w:noWrap/>
            <w:vAlign w:val="center"/>
            <w:hideMark/>
          </w:tcPr>
          <w:p w14:paraId="2E3F786E" w14:textId="77777777" w:rsidR="00EC790A" w:rsidRPr="001B044E" w:rsidRDefault="00EC790A" w:rsidP="00EC790A">
            <w:pPr>
              <w:jc w:val="right"/>
              <w:rPr>
                <w:rFonts w:ascii="Arial Narrow" w:eastAsia="Times New Roman" w:hAnsi="Arial Narrow" w:cs="Times New Roman"/>
                <w:b/>
                <w:bCs/>
                <w:sz w:val="18"/>
                <w:szCs w:val="18"/>
              </w:rPr>
            </w:pPr>
            <w:r w:rsidRPr="001B044E">
              <w:rPr>
                <w:rFonts w:ascii="Arial Narrow" w:eastAsia="Times New Roman" w:hAnsi="Arial Narrow" w:cs="Times New Roman"/>
                <w:b/>
                <w:bCs/>
                <w:sz w:val="18"/>
                <w:szCs w:val="18"/>
              </w:rPr>
              <w:t>4,4%</w:t>
            </w:r>
          </w:p>
        </w:tc>
        <w:tc>
          <w:tcPr>
            <w:tcW w:w="666" w:type="pct"/>
            <w:tcBorders>
              <w:top w:val="nil"/>
              <w:left w:val="nil"/>
              <w:bottom w:val="single" w:sz="8" w:space="0" w:color="auto"/>
              <w:right w:val="nil"/>
            </w:tcBorders>
            <w:shd w:val="clear" w:color="auto" w:fill="auto"/>
            <w:noWrap/>
            <w:vAlign w:val="center"/>
            <w:hideMark/>
          </w:tcPr>
          <w:p w14:paraId="53FBDA3E" w14:textId="77777777" w:rsidR="00EC790A" w:rsidRPr="001B044E" w:rsidRDefault="00EC790A" w:rsidP="00EC790A">
            <w:pPr>
              <w:rPr>
                <w:rFonts w:ascii="Arial Narrow" w:eastAsia="Times New Roman" w:hAnsi="Arial Narrow" w:cs="Times New Roman"/>
                <w:b/>
                <w:bCs/>
                <w:sz w:val="18"/>
                <w:szCs w:val="18"/>
              </w:rPr>
            </w:pPr>
            <w:r w:rsidRPr="001B044E">
              <w:rPr>
                <w:rFonts w:ascii="Arial Narrow" w:eastAsia="Times New Roman" w:hAnsi="Arial Narrow" w:cs="Times New Roman"/>
                <w:b/>
                <w:bCs/>
                <w:sz w:val="18"/>
                <w:szCs w:val="18"/>
              </w:rPr>
              <w:t> </w:t>
            </w:r>
          </w:p>
        </w:tc>
      </w:tr>
    </w:tbl>
    <w:p w14:paraId="0B0A43B0" w14:textId="77777777" w:rsidR="00EC790A" w:rsidRPr="001B044E" w:rsidRDefault="00EC790A" w:rsidP="001B044E">
      <w:pPr>
        <w:shd w:val="clear" w:color="auto" w:fill="FFFFFF"/>
        <w:jc w:val="both"/>
        <w:rPr>
          <w:rFonts w:ascii="Calibri" w:hAnsi="Calibri"/>
          <w:sz w:val="22"/>
          <w:szCs w:val="22"/>
          <w:shd w:val="clear" w:color="auto" w:fill="FFFFFF"/>
        </w:rPr>
      </w:pPr>
      <w:r w:rsidRPr="001B044E">
        <w:rPr>
          <w:rFonts w:ascii="Calibri" w:hAnsi="Calibri"/>
          <w:sz w:val="22"/>
          <w:szCs w:val="22"/>
          <w:shd w:val="clear" w:color="auto" w:fill="FFFFFF"/>
        </w:rPr>
        <w:t>Buona rappresentatività per le strutture a Firenze e Siena; non fa mancare il tradizionale apporto, legato al sensibile radicamento di campeggi del territorio, la provincia di Livorno, compresa l’isola d’Elba in cui si supera oltre il 25% della ricettività esistente.</w:t>
      </w:r>
    </w:p>
    <w:p w14:paraId="23D35AC1" w14:textId="77777777" w:rsidR="00EC790A" w:rsidRPr="001B044E" w:rsidRDefault="00EC790A" w:rsidP="001B044E">
      <w:pPr>
        <w:shd w:val="clear" w:color="auto" w:fill="FFFFFF"/>
        <w:jc w:val="both"/>
        <w:rPr>
          <w:rFonts w:ascii="Calibri" w:hAnsi="Calibri"/>
          <w:sz w:val="22"/>
          <w:szCs w:val="22"/>
          <w:shd w:val="clear" w:color="auto" w:fill="FFFFFF"/>
        </w:rPr>
      </w:pPr>
      <w:r w:rsidRPr="001B044E">
        <w:rPr>
          <w:rFonts w:ascii="Calibri" w:hAnsi="Calibri"/>
          <w:sz w:val="22"/>
          <w:szCs w:val="22"/>
          <w:shd w:val="clear" w:color="auto" w:fill="FFFFFF"/>
        </w:rPr>
        <w:t xml:space="preserve">Oltre il 30% la rappresentatività per la risorsa “Altro interesse” e per la provincia di Pisa mentre Campagna Collina raggiunge il 23%. </w:t>
      </w:r>
    </w:p>
    <w:p w14:paraId="7E4D7135" w14:textId="77777777" w:rsidR="00EC790A" w:rsidRPr="001B044E" w:rsidRDefault="00EC790A" w:rsidP="001B044E">
      <w:pPr>
        <w:shd w:val="clear" w:color="auto" w:fill="FFFFFF"/>
        <w:jc w:val="both"/>
        <w:rPr>
          <w:rFonts w:ascii="Calibri" w:hAnsi="Calibri"/>
          <w:sz w:val="22"/>
          <w:szCs w:val="22"/>
          <w:shd w:val="clear" w:color="auto" w:fill="FFFFFF"/>
        </w:rPr>
      </w:pPr>
      <w:r w:rsidRPr="001B044E">
        <w:rPr>
          <w:rFonts w:ascii="Calibri" w:hAnsi="Calibri"/>
          <w:sz w:val="22"/>
          <w:szCs w:val="22"/>
          <w:shd w:val="clear" w:color="auto" w:fill="FFFFFF"/>
        </w:rPr>
        <w:t xml:space="preserve">Nella media le quote per Grosseto e il balneare, in relazione anche al peso decisivo che entrambe detengono. Occorre annotare la totale mancanza di rappresentatività per la provincia di Pistoia (nessuno dei 7 campeggi esistenti ha risposto), per la risorsa Termale (5 campeggi non rilevati. </w:t>
      </w:r>
    </w:p>
    <w:p w14:paraId="7BFCE8F3" w14:textId="77777777" w:rsidR="00EC790A" w:rsidRPr="001B044E" w:rsidRDefault="00EC790A" w:rsidP="001B044E">
      <w:pPr>
        <w:shd w:val="clear" w:color="auto" w:fill="FFFFFF"/>
        <w:jc w:val="both"/>
        <w:rPr>
          <w:rFonts w:ascii="Calibri" w:hAnsi="Calibri"/>
          <w:sz w:val="22"/>
          <w:szCs w:val="22"/>
          <w:shd w:val="clear" w:color="auto" w:fill="FFFFFF"/>
        </w:rPr>
      </w:pPr>
      <w:r w:rsidRPr="001B044E">
        <w:rPr>
          <w:rFonts w:ascii="Calibri" w:hAnsi="Calibri"/>
          <w:sz w:val="22"/>
          <w:szCs w:val="22"/>
          <w:shd w:val="clear" w:color="auto" w:fill="FFFFFF"/>
        </w:rPr>
        <w:t>Non elevata la copertura del campione anche per la provincia di Massa Carrara (bassa la dimensione media dei campeggi che hanno risposto) e soprattutto per Lucca, dal cui territorio giunge una sola risposta (su 16 campeggi esistenti), lasciando il balneare della costa totalmente scoperto da stime per la previsione sull’andamento della stagione estiva 2017.</w:t>
      </w:r>
    </w:p>
    <w:p w14:paraId="3081A54B" w14:textId="77777777" w:rsidR="00EC790A" w:rsidRPr="001B044E" w:rsidRDefault="00EC790A" w:rsidP="001B044E">
      <w:pPr>
        <w:shd w:val="clear" w:color="auto" w:fill="FFFFFF"/>
        <w:jc w:val="both"/>
        <w:rPr>
          <w:rFonts w:ascii="Calibri" w:hAnsi="Calibri"/>
          <w:sz w:val="22"/>
          <w:szCs w:val="22"/>
          <w:shd w:val="clear" w:color="auto" w:fill="FFFFFF"/>
        </w:rPr>
      </w:pPr>
      <w:r w:rsidRPr="001B044E">
        <w:rPr>
          <w:rFonts w:ascii="Calibri" w:hAnsi="Calibri"/>
          <w:sz w:val="22"/>
          <w:szCs w:val="22"/>
          <w:shd w:val="clear" w:color="auto" w:fill="FFFFFF"/>
        </w:rPr>
        <w:t>Oltre alle imprese del turismo all'Aria Aperta, hanno risposto al questionario 4 strutture tra aree attrezzate, agri campeggio e aree di sosta, che sono state identificate nel loro complesso come "Aree Open Air", poco al di sotto del 5% di quelle censite.</w:t>
      </w:r>
    </w:p>
    <w:p w14:paraId="7F834AAB" w14:textId="3BA23F88" w:rsidR="00FE04BF" w:rsidRPr="00170C4F" w:rsidRDefault="00FE04BF" w:rsidP="006E0627">
      <w:pPr>
        <w:pStyle w:val="Corpodeltesto"/>
        <w:spacing w:line="240" w:lineRule="auto"/>
        <w:ind w:right="-1"/>
        <w:rPr>
          <w:rFonts w:ascii="Calibri" w:hAnsi="Calibri" w:cs="Arial"/>
          <w:sz w:val="22"/>
          <w:szCs w:val="22"/>
        </w:rPr>
      </w:pPr>
    </w:p>
    <w:sectPr w:rsidR="00FE04BF" w:rsidRPr="00170C4F" w:rsidSect="00074622">
      <w:headerReference w:type="default" r:id="rId18"/>
      <w:footerReference w:type="default" r:id="rId19"/>
      <w:pgSz w:w="9340" w:h="13600"/>
      <w:pgMar w:top="1701" w:right="1304" w:bottom="1418" w:left="1134" w:header="851" w:footer="1108" w:gutter="0"/>
      <w:pgNumType w:start="1"/>
      <w:cols w:space="708"/>
      <w:printerSettings r:id="rId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5D97A" w14:textId="77777777" w:rsidR="00074622" w:rsidRDefault="00074622" w:rsidP="00C053BA">
      <w:r>
        <w:separator/>
      </w:r>
    </w:p>
  </w:endnote>
  <w:endnote w:type="continuationSeparator" w:id="0">
    <w:p w14:paraId="0DB6BDFC" w14:textId="77777777" w:rsidR="00074622" w:rsidRDefault="00074622" w:rsidP="00C0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enturyOldst BT">
    <w:altName w:val="Bookman Old Style"/>
    <w:panose1 w:val="00000000000000000000"/>
    <w:charset w:val="00"/>
    <w:family w:val="roman"/>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PMingLiU">
    <w:altName w:val="新細明體"/>
    <w:panose1 w:val="00000000000000000000"/>
    <w:charset w:val="88"/>
    <w:family w:val="auto"/>
    <w:notTrueType/>
    <w:pitch w:val="variable"/>
    <w:sig w:usb0="00000001" w:usb1="08080000" w:usb2="00000010" w:usb3="00000000" w:csb0="00100000" w:csb1="00000000"/>
  </w:font>
  <w:font w:name="Arial Narrow">
    <w:panose1 w:val="020B0506020202030204"/>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BCAF3" w14:textId="77777777" w:rsidR="00074622" w:rsidRDefault="00074622" w:rsidP="008F0D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110A">
      <w:rPr>
        <w:rStyle w:val="Numeropagina"/>
        <w:noProof/>
      </w:rPr>
      <w:t>1</w:t>
    </w:r>
    <w:r>
      <w:rPr>
        <w:rStyle w:val="Numeropagina"/>
      </w:rPr>
      <w:fldChar w:fldCharType="end"/>
    </w:r>
  </w:p>
  <w:p w14:paraId="6DE56C6B" w14:textId="77777777" w:rsidR="00074622" w:rsidRDefault="00074622" w:rsidP="00C053BA">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69AB4" w14:textId="77777777" w:rsidR="00074622" w:rsidRDefault="00074622" w:rsidP="00C053BA">
      <w:r>
        <w:separator/>
      </w:r>
    </w:p>
  </w:footnote>
  <w:footnote w:type="continuationSeparator" w:id="0">
    <w:p w14:paraId="5910C709" w14:textId="77777777" w:rsidR="00074622" w:rsidRDefault="00074622" w:rsidP="00C053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B03F0" w14:textId="5DEAF60E" w:rsidR="00074622" w:rsidRPr="008741DA" w:rsidRDefault="00074622" w:rsidP="00D65C7E">
    <w:pPr>
      <w:pStyle w:val="Intestazione"/>
      <w:jc w:val="center"/>
      <w:rPr>
        <w:rFonts w:asciiTheme="majorHAnsi" w:hAnsiTheme="majorHAnsi"/>
        <w:color w:val="365F91" w:themeColor="accent1" w:themeShade="BF"/>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35pt;height:11.35pt" o:bullet="t">
        <v:imagedata r:id="rId1" o:title="Word Work File L_2029975804"/>
      </v:shape>
    </w:pict>
  </w:numPicBullet>
  <w:abstractNum w:abstractNumId="0">
    <w:nsid w:val="FFFFFF89"/>
    <w:multiLevelType w:val="singleLevel"/>
    <w:tmpl w:val="193A17A2"/>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E04445"/>
    <w:multiLevelType w:val="hybridMultilevel"/>
    <w:tmpl w:val="865A8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85525D"/>
    <w:multiLevelType w:val="hybridMultilevel"/>
    <w:tmpl w:val="122229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08B2C91"/>
    <w:multiLevelType w:val="hybridMultilevel"/>
    <w:tmpl w:val="F1D41C3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E6375D"/>
    <w:multiLevelType w:val="hybridMultilevel"/>
    <w:tmpl w:val="3FA2764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3741A26"/>
    <w:multiLevelType w:val="hybridMultilevel"/>
    <w:tmpl w:val="91109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A4A6360"/>
    <w:multiLevelType w:val="hybridMultilevel"/>
    <w:tmpl w:val="59325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ABB4FA5"/>
    <w:multiLevelType w:val="hybridMultilevel"/>
    <w:tmpl w:val="78BC5A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F142E19"/>
    <w:multiLevelType w:val="hybridMultilevel"/>
    <w:tmpl w:val="512804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8F92E46"/>
    <w:multiLevelType w:val="hybridMultilevel"/>
    <w:tmpl w:val="11C896E0"/>
    <w:lvl w:ilvl="0" w:tplc="8206AECA">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F22005D"/>
    <w:multiLevelType w:val="hybridMultilevel"/>
    <w:tmpl w:val="2698F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1614C09"/>
    <w:multiLevelType w:val="hybridMultilevel"/>
    <w:tmpl w:val="7786AF3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5C51DE6"/>
    <w:multiLevelType w:val="hybridMultilevel"/>
    <w:tmpl w:val="63B8F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BB56D27"/>
    <w:multiLevelType w:val="hybridMultilevel"/>
    <w:tmpl w:val="671ABB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BB43809"/>
    <w:multiLevelType w:val="hybridMultilevel"/>
    <w:tmpl w:val="F028DA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BC11CC4"/>
    <w:multiLevelType w:val="hybridMultilevel"/>
    <w:tmpl w:val="14CEA0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2"/>
  </w:num>
  <w:num w:numId="4">
    <w:abstractNumId w:val="5"/>
  </w:num>
  <w:num w:numId="5">
    <w:abstractNumId w:val="4"/>
  </w:num>
  <w:num w:numId="6">
    <w:abstractNumId w:val="15"/>
  </w:num>
  <w:num w:numId="7">
    <w:abstractNumId w:val="2"/>
  </w:num>
  <w:num w:numId="8">
    <w:abstractNumId w:val="7"/>
  </w:num>
  <w:num w:numId="9">
    <w:abstractNumId w:val="3"/>
  </w:num>
  <w:num w:numId="10">
    <w:abstractNumId w:val="16"/>
  </w:num>
  <w:num w:numId="11">
    <w:abstractNumId w:val="8"/>
  </w:num>
  <w:num w:numId="12">
    <w:abstractNumId w:val="10"/>
  </w:num>
  <w:num w:numId="13">
    <w:abstractNumId w:val="0"/>
  </w:num>
  <w:num w:numId="14">
    <w:abstractNumId w:val="1"/>
  </w:num>
  <w:num w:numId="15">
    <w:abstractNumId w:val="1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mirrorMargins/>
  <w:proofState w:spelling="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9E"/>
    <w:rsid w:val="00000A9C"/>
    <w:rsid w:val="000039E9"/>
    <w:rsid w:val="0000485B"/>
    <w:rsid w:val="00006F0A"/>
    <w:rsid w:val="000078B6"/>
    <w:rsid w:val="00007D70"/>
    <w:rsid w:val="00014145"/>
    <w:rsid w:val="00016274"/>
    <w:rsid w:val="00016C4E"/>
    <w:rsid w:val="0002273B"/>
    <w:rsid w:val="0002283F"/>
    <w:rsid w:val="00025A23"/>
    <w:rsid w:val="0002703D"/>
    <w:rsid w:val="0003146F"/>
    <w:rsid w:val="00031BFC"/>
    <w:rsid w:val="00034E30"/>
    <w:rsid w:val="000375CC"/>
    <w:rsid w:val="000411B6"/>
    <w:rsid w:val="00042B24"/>
    <w:rsid w:val="000439FC"/>
    <w:rsid w:val="00045E46"/>
    <w:rsid w:val="00046BA4"/>
    <w:rsid w:val="0004767D"/>
    <w:rsid w:val="00047AD5"/>
    <w:rsid w:val="000537D7"/>
    <w:rsid w:val="00053EC0"/>
    <w:rsid w:val="00057538"/>
    <w:rsid w:val="00060971"/>
    <w:rsid w:val="0006315A"/>
    <w:rsid w:val="00063C56"/>
    <w:rsid w:val="00070E83"/>
    <w:rsid w:val="00071E12"/>
    <w:rsid w:val="00074622"/>
    <w:rsid w:val="000753D5"/>
    <w:rsid w:val="00075BBA"/>
    <w:rsid w:val="00076B67"/>
    <w:rsid w:val="000817DE"/>
    <w:rsid w:val="000826EA"/>
    <w:rsid w:val="00083B0C"/>
    <w:rsid w:val="00083F02"/>
    <w:rsid w:val="0008470A"/>
    <w:rsid w:val="00091D89"/>
    <w:rsid w:val="00091EFF"/>
    <w:rsid w:val="00092100"/>
    <w:rsid w:val="000A0B49"/>
    <w:rsid w:val="000A2DFF"/>
    <w:rsid w:val="000A5B95"/>
    <w:rsid w:val="000A7EF1"/>
    <w:rsid w:val="000B1096"/>
    <w:rsid w:val="000B1FAF"/>
    <w:rsid w:val="000B341F"/>
    <w:rsid w:val="000B386B"/>
    <w:rsid w:val="000B4BB3"/>
    <w:rsid w:val="000B50D9"/>
    <w:rsid w:val="000B52FE"/>
    <w:rsid w:val="000B614B"/>
    <w:rsid w:val="000B741E"/>
    <w:rsid w:val="000C272F"/>
    <w:rsid w:val="000C58CC"/>
    <w:rsid w:val="000C6453"/>
    <w:rsid w:val="000D006D"/>
    <w:rsid w:val="000D0511"/>
    <w:rsid w:val="000D1239"/>
    <w:rsid w:val="000D155A"/>
    <w:rsid w:val="000D4710"/>
    <w:rsid w:val="000D4F1E"/>
    <w:rsid w:val="000D5D91"/>
    <w:rsid w:val="000D6C63"/>
    <w:rsid w:val="000E2D7A"/>
    <w:rsid w:val="000E3CCF"/>
    <w:rsid w:val="000E6021"/>
    <w:rsid w:val="000E7535"/>
    <w:rsid w:val="000F047E"/>
    <w:rsid w:val="000F068B"/>
    <w:rsid w:val="000F2991"/>
    <w:rsid w:val="000F545B"/>
    <w:rsid w:val="000F54F3"/>
    <w:rsid w:val="00100759"/>
    <w:rsid w:val="001038F6"/>
    <w:rsid w:val="001044E6"/>
    <w:rsid w:val="00105A2B"/>
    <w:rsid w:val="001104DB"/>
    <w:rsid w:val="00110519"/>
    <w:rsid w:val="001131E0"/>
    <w:rsid w:val="00122175"/>
    <w:rsid w:val="00124C8D"/>
    <w:rsid w:val="001251AF"/>
    <w:rsid w:val="00126628"/>
    <w:rsid w:val="00126E60"/>
    <w:rsid w:val="001324D5"/>
    <w:rsid w:val="001327B6"/>
    <w:rsid w:val="0013747C"/>
    <w:rsid w:val="001443DF"/>
    <w:rsid w:val="00150958"/>
    <w:rsid w:val="00155706"/>
    <w:rsid w:val="00160FA4"/>
    <w:rsid w:val="00161330"/>
    <w:rsid w:val="001620A5"/>
    <w:rsid w:val="0016258B"/>
    <w:rsid w:val="001649C9"/>
    <w:rsid w:val="00172729"/>
    <w:rsid w:val="00173237"/>
    <w:rsid w:val="00174774"/>
    <w:rsid w:val="001761AF"/>
    <w:rsid w:val="00180DE8"/>
    <w:rsid w:val="00182C56"/>
    <w:rsid w:val="001839B0"/>
    <w:rsid w:val="00183A82"/>
    <w:rsid w:val="00195AEB"/>
    <w:rsid w:val="001A06B0"/>
    <w:rsid w:val="001A71CF"/>
    <w:rsid w:val="001B044E"/>
    <w:rsid w:val="001B06C8"/>
    <w:rsid w:val="001C13E1"/>
    <w:rsid w:val="001D2050"/>
    <w:rsid w:val="001D2AAA"/>
    <w:rsid w:val="001D639D"/>
    <w:rsid w:val="001D6F61"/>
    <w:rsid w:val="001D7825"/>
    <w:rsid w:val="001E0DBA"/>
    <w:rsid w:val="001E110A"/>
    <w:rsid w:val="001E4D9A"/>
    <w:rsid w:val="001E59BD"/>
    <w:rsid w:val="001E5D23"/>
    <w:rsid w:val="001E6B63"/>
    <w:rsid w:val="001E796E"/>
    <w:rsid w:val="001F22A1"/>
    <w:rsid w:val="001F3CF7"/>
    <w:rsid w:val="001F4C42"/>
    <w:rsid w:val="001F5AC8"/>
    <w:rsid w:val="0020133B"/>
    <w:rsid w:val="00201E17"/>
    <w:rsid w:val="00205BB1"/>
    <w:rsid w:val="00206CE0"/>
    <w:rsid w:val="002071EB"/>
    <w:rsid w:val="002108D7"/>
    <w:rsid w:val="00213378"/>
    <w:rsid w:val="002144D1"/>
    <w:rsid w:val="00214FE9"/>
    <w:rsid w:val="0021679B"/>
    <w:rsid w:val="00216DF8"/>
    <w:rsid w:val="00217907"/>
    <w:rsid w:val="00217CE6"/>
    <w:rsid w:val="002241E2"/>
    <w:rsid w:val="00225A1F"/>
    <w:rsid w:val="00226048"/>
    <w:rsid w:val="002268BF"/>
    <w:rsid w:val="00226B12"/>
    <w:rsid w:val="002271E6"/>
    <w:rsid w:val="00230FB4"/>
    <w:rsid w:val="00232187"/>
    <w:rsid w:val="002330E6"/>
    <w:rsid w:val="00233296"/>
    <w:rsid w:val="00234812"/>
    <w:rsid w:val="002403EF"/>
    <w:rsid w:val="00241F03"/>
    <w:rsid w:val="002424A2"/>
    <w:rsid w:val="00245D5D"/>
    <w:rsid w:val="00250FCD"/>
    <w:rsid w:val="00252830"/>
    <w:rsid w:val="0025418B"/>
    <w:rsid w:val="00254B16"/>
    <w:rsid w:val="002558EF"/>
    <w:rsid w:val="00255FC6"/>
    <w:rsid w:val="00264F45"/>
    <w:rsid w:val="002659E5"/>
    <w:rsid w:val="0026649C"/>
    <w:rsid w:val="002702DF"/>
    <w:rsid w:val="0027172F"/>
    <w:rsid w:val="002717B5"/>
    <w:rsid w:val="00271C09"/>
    <w:rsid w:val="00273D71"/>
    <w:rsid w:val="002749B1"/>
    <w:rsid w:val="00276CC4"/>
    <w:rsid w:val="002779E9"/>
    <w:rsid w:val="00277D3C"/>
    <w:rsid w:val="0028024B"/>
    <w:rsid w:val="00282EA9"/>
    <w:rsid w:val="00283502"/>
    <w:rsid w:val="00286603"/>
    <w:rsid w:val="002923CC"/>
    <w:rsid w:val="00293DD1"/>
    <w:rsid w:val="00296789"/>
    <w:rsid w:val="002A0258"/>
    <w:rsid w:val="002A042C"/>
    <w:rsid w:val="002A1816"/>
    <w:rsid w:val="002A49FB"/>
    <w:rsid w:val="002A5AA6"/>
    <w:rsid w:val="002A692A"/>
    <w:rsid w:val="002B0E3C"/>
    <w:rsid w:val="002B2289"/>
    <w:rsid w:val="002B2548"/>
    <w:rsid w:val="002B2E63"/>
    <w:rsid w:val="002B4850"/>
    <w:rsid w:val="002B65FA"/>
    <w:rsid w:val="002B78D9"/>
    <w:rsid w:val="002B7989"/>
    <w:rsid w:val="002C1FF8"/>
    <w:rsid w:val="002C2369"/>
    <w:rsid w:val="002C32EB"/>
    <w:rsid w:val="002C6C94"/>
    <w:rsid w:val="002D049E"/>
    <w:rsid w:val="002D19C8"/>
    <w:rsid w:val="002D2448"/>
    <w:rsid w:val="002D2B02"/>
    <w:rsid w:val="002D2B05"/>
    <w:rsid w:val="002D645A"/>
    <w:rsid w:val="002D6726"/>
    <w:rsid w:val="002D70E8"/>
    <w:rsid w:val="002D773F"/>
    <w:rsid w:val="002E1733"/>
    <w:rsid w:val="002E2400"/>
    <w:rsid w:val="002E3763"/>
    <w:rsid w:val="002E4DD3"/>
    <w:rsid w:val="002E6A2D"/>
    <w:rsid w:val="002E7190"/>
    <w:rsid w:val="002F148F"/>
    <w:rsid w:val="002F1F9F"/>
    <w:rsid w:val="00300B17"/>
    <w:rsid w:val="00301628"/>
    <w:rsid w:val="0030273C"/>
    <w:rsid w:val="003028C3"/>
    <w:rsid w:val="0030291E"/>
    <w:rsid w:val="00302E4C"/>
    <w:rsid w:val="003035DB"/>
    <w:rsid w:val="00303EAD"/>
    <w:rsid w:val="00304179"/>
    <w:rsid w:val="00304863"/>
    <w:rsid w:val="00312C89"/>
    <w:rsid w:val="00313C2A"/>
    <w:rsid w:val="0031646D"/>
    <w:rsid w:val="00320EA3"/>
    <w:rsid w:val="003249BD"/>
    <w:rsid w:val="00324C41"/>
    <w:rsid w:val="0033286F"/>
    <w:rsid w:val="003331E8"/>
    <w:rsid w:val="00334C02"/>
    <w:rsid w:val="00336630"/>
    <w:rsid w:val="00336776"/>
    <w:rsid w:val="00346931"/>
    <w:rsid w:val="00351A21"/>
    <w:rsid w:val="00355360"/>
    <w:rsid w:val="00357E03"/>
    <w:rsid w:val="0036013B"/>
    <w:rsid w:val="00360F3B"/>
    <w:rsid w:val="00363EBF"/>
    <w:rsid w:val="003669E7"/>
    <w:rsid w:val="00370A82"/>
    <w:rsid w:val="00371E87"/>
    <w:rsid w:val="00373AFF"/>
    <w:rsid w:val="00374F10"/>
    <w:rsid w:val="003841B9"/>
    <w:rsid w:val="00386388"/>
    <w:rsid w:val="003869B0"/>
    <w:rsid w:val="00386E63"/>
    <w:rsid w:val="003878F7"/>
    <w:rsid w:val="0039259F"/>
    <w:rsid w:val="00393DC1"/>
    <w:rsid w:val="003940CD"/>
    <w:rsid w:val="003952A1"/>
    <w:rsid w:val="00395485"/>
    <w:rsid w:val="003A3671"/>
    <w:rsid w:val="003A3A3D"/>
    <w:rsid w:val="003A3ABC"/>
    <w:rsid w:val="003A3E50"/>
    <w:rsid w:val="003A4FCC"/>
    <w:rsid w:val="003A5C81"/>
    <w:rsid w:val="003B682A"/>
    <w:rsid w:val="003B6F81"/>
    <w:rsid w:val="003B7A0C"/>
    <w:rsid w:val="003C114F"/>
    <w:rsid w:val="003C1B84"/>
    <w:rsid w:val="003C391E"/>
    <w:rsid w:val="003C4D64"/>
    <w:rsid w:val="003C5889"/>
    <w:rsid w:val="003C60B9"/>
    <w:rsid w:val="003C78A9"/>
    <w:rsid w:val="003D1995"/>
    <w:rsid w:val="003D23A0"/>
    <w:rsid w:val="003D2B56"/>
    <w:rsid w:val="003D635E"/>
    <w:rsid w:val="003D6BE0"/>
    <w:rsid w:val="003E13A0"/>
    <w:rsid w:val="003E58FE"/>
    <w:rsid w:val="003F0A5B"/>
    <w:rsid w:val="003F0A5C"/>
    <w:rsid w:val="003F0E80"/>
    <w:rsid w:val="003F35D0"/>
    <w:rsid w:val="003F591C"/>
    <w:rsid w:val="003F6874"/>
    <w:rsid w:val="003F70C4"/>
    <w:rsid w:val="0040009A"/>
    <w:rsid w:val="00400BE6"/>
    <w:rsid w:val="00401A4D"/>
    <w:rsid w:val="00403EEB"/>
    <w:rsid w:val="00404DC4"/>
    <w:rsid w:val="00407179"/>
    <w:rsid w:val="0041292C"/>
    <w:rsid w:val="00421D83"/>
    <w:rsid w:val="00422911"/>
    <w:rsid w:val="004256D8"/>
    <w:rsid w:val="00430141"/>
    <w:rsid w:val="0043116E"/>
    <w:rsid w:val="004342C2"/>
    <w:rsid w:val="0043453C"/>
    <w:rsid w:val="004369B9"/>
    <w:rsid w:val="00437C23"/>
    <w:rsid w:val="00440C71"/>
    <w:rsid w:val="0044260C"/>
    <w:rsid w:val="00443414"/>
    <w:rsid w:val="0044488F"/>
    <w:rsid w:val="0044514E"/>
    <w:rsid w:val="004455F4"/>
    <w:rsid w:val="00445769"/>
    <w:rsid w:val="0044786A"/>
    <w:rsid w:val="00447B97"/>
    <w:rsid w:val="00456A41"/>
    <w:rsid w:val="00457A9E"/>
    <w:rsid w:val="00462CC5"/>
    <w:rsid w:val="004657A9"/>
    <w:rsid w:val="00467B9C"/>
    <w:rsid w:val="004704FD"/>
    <w:rsid w:val="00470DEE"/>
    <w:rsid w:val="00476DE1"/>
    <w:rsid w:val="004777BF"/>
    <w:rsid w:val="004812E8"/>
    <w:rsid w:val="00481519"/>
    <w:rsid w:val="0048161C"/>
    <w:rsid w:val="00482129"/>
    <w:rsid w:val="00483F55"/>
    <w:rsid w:val="00484AEA"/>
    <w:rsid w:val="004853E6"/>
    <w:rsid w:val="004854E3"/>
    <w:rsid w:val="00487848"/>
    <w:rsid w:val="00487A80"/>
    <w:rsid w:val="00487CF4"/>
    <w:rsid w:val="00490DF6"/>
    <w:rsid w:val="00493216"/>
    <w:rsid w:val="00493669"/>
    <w:rsid w:val="004950F1"/>
    <w:rsid w:val="004964AA"/>
    <w:rsid w:val="00496B78"/>
    <w:rsid w:val="004A15AF"/>
    <w:rsid w:val="004A5118"/>
    <w:rsid w:val="004A57E5"/>
    <w:rsid w:val="004A7A31"/>
    <w:rsid w:val="004B0BED"/>
    <w:rsid w:val="004B1D6A"/>
    <w:rsid w:val="004B53F4"/>
    <w:rsid w:val="004B6D7B"/>
    <w:rsid w:val="004C229D"/>
    <w:rsid w:val="004C6F3C"/>
    <w:rsid w:val="004D3F10"/>
    <w:rsid w:val="004E18C9"/>
    <w:rsid w:val="004E2279"/>
    <w:rsid w:val="004E30B9"/>
    <w:rsid w:val="004E480C"/>
    <w:rsid w:val="004E6652"/>
    <w:rsid w:val="004E6A36"/>
    <w:rsid w:val="004F08FA"/>
    <w:rsid w:val="004F369F"/>
    <w:rsid w:val="004F456C"/>
    <w:rsid w:val="004F4E9A"/>
    <w:rsid w:val="004F5C4D"/>
    <w:rsid w:val="004F6513"/>
    <w:rsid w:val="004F6826"/>
    <w:rsid w:val="004F7CEA"/>
    <w:rsid w:val="00500F75"/>
    <w:rsid w:val="00501761"/>
    <w:rsid w:val="005022AD"/>
    <w:rsid w:val="0050580E"/>
    <w:rsid w:val="00505817"/>
    <w:rsid w:val="005105DA"/>
    <w:rsid w:val="0051415C"/>
    <w:rsid w:val="00516A50"/>
    <w:rsid w:val="0051760F"/>
    <w:rsid w:val="00520956"/>
    <w:rsid w:val="00520984"/>
    <w:rsid w:val="005222B0"/>
    <w:rsid w:val="0052261A"/>
    <w:rsid w:val="005226AF"/>
    <w:rsid w:val="00523523"/>
    <w:rsid w:val="00535222"/>
    <w:rsid w:val="00535555"/>
    <w:rsid w:val="005378E1"/>
    <w:rsid w:val="00541563"/>
    <w:rsid w:val="0054240A"/>
    <w:rsid w:val="00546794"/>
    <w:rsid w:val="00552BD4"/>
    <w:rsid w:val="00553216"/>
    <w:rsid w:val="0055341D"/>
    <w:rsid w:val="00553566"/>
    <w:rsid w:val="00553851"/>
    <w:rsid w:val="005612DA"/>
    <w:rsid w:val="005640EB"/>
    <w:rsid w:val="00564EEA"/>
    <w:rsid w:val="00571A31"/>
    <w:rsid w:val="00572C04"/>
    <w:rsid w:val="00574FA7"/>
    <w:rsid w:val="00575441"/>
    <w:rsid w:val="00575DB1"/>
    <w:rsid w:val="00580CD0"/>
    <w:rsid w:val="00581224"/>
    <w:rsid w:val="00582129"/>
    <w:rsid w:val="00582B72"/>
    <w:rsid w:val="00584C13"/>
    <w:rsid w:val="00590C4B"/>
    <w:rsid w:val="00592FCB"/>
    <w:rsid w:val="00593AD5"/>
    <w:rsid w:val="00594A95"/>
    <w:rsid w:val="005951A0"/>
    <w:rsid w:val="00597CCF"/>
    <w:rsid w:val="005A2D6F"/>
    <w:rsid w:val="005A3C78"/>
    <w:rsid w:val="005A5B7A"/>
    <w:rsid w:val="005A6B37"/>
    <w:rsid w:val="005B4B6D"/>
    <w:rsid w:val="005B57B3"/>
    <w:rsid w:val="005B5C3A"/>
    <w:rsid w:val="005B6758"/>
    <w:rsid w:val="005C391C"/>
    <w:rsid w:val="005C4642"/>
    <w:rsid w:val="005D4266"/>
    <w:rsid w:val="005D60D8"/>
    <w:rsid w:val="005D641A"/>
    <w:rsid w:val="005E5570"/>
    <w:rsid w:val="005E64C0"/>
    <w:rsid w:val="005E7483"/>
    <w:rsid w:val="005F0EFB"/>
    <w:rsid w:val="00601065"/>
    <w:rsid w:val="00605DCC"/>
    <w:rsid w:val="00606888"/>
    <w:rsid w:val="00607196"/>
    <w:rsid w:val="006072A8"/>
    <w:rsid w:val="0061077B"/>
    <w:rsid w:val="00610F3A"/>
    <w:rsid w:val="00611492"/>
    <w:rsid w:val="00611807"/>
    <w:rsid w:val="006124AA"/>
    <w:rsid w:val="0061415A"/>
    <w:rsid w:val="00614FCE"/>
    <w:rsid w:val="0061658E"/>
    <w:rsid w:val="0061765F"/>
    <w:rsid w:val="00620A7A"/>
    <w:rsid w:val="0062210F"/>
    <w:rsid w:val="006243D7"/>
    <w:rsid w:val="00630795"/>
    <w:rsid w:val="006379A5"/>
    <w:rsid w:val="00637FAF"/>
    <w:rsid w:val="00640023"/>
    <w:rsid w:val="006448AD"/>
    <w:rsid w:val="00651D81"/>
    <w:rsid w:val="00654CCC"/>
    <w:rsid w:val="0066167F"/>
    <w:rsid w:val="00664EBC"/>
    <w:rsid w:val="006665A5"/>
    <w:rsid w:val="0066787F"/>
    <w:rsid w:val="00667CE2"/>
    <w:rsid w:val="00672B13"/>
    <w:rsid w:val="00672F0E"/>
    <w:rsid w:val="006754E8"/>
    <w:rsid w:val="00675E08"/>
    <w:rsid w:val="00680908"/>
    <w:rsid w:val="00681F0C"/>
    <w:rsid w:val="006822E3"/>
    <w:rsid w:val="00683162"/>
    <w:rsid w:val="006847DC"/>
    <w:rsid w:val="00685711"/>
    <w:rsid w:val="006869F7"/>
    <w:rsid w:val="00690E39"/>
    <w:rsid w:val="0069152D"/>
    <w:rsid w:val="006940C5"/>
    <w:rsid w:val="006972BA"/>
    <w:rsid w:val="006A2587"/>
    <w:rsid w:val="006A60C3"/>
    <w:rsid w:val="006A6393"/>
    <w:rsid w:val="006A6A80"/>
    <w:rsid w:val="006A70EF"/>
    <w:rsid w:val="006A7B3A"/>
    <w:rsid w:val="006A7D1C"/>
    <w:rsid w:val="006B2998"/>
    <w:rsid w:val="006B2F6A"/>
    <w:rsid w:val="006B39D3"/>
    <w:rsid w:val="006B4005"/>
    <w:rsid w:val="006B68B1"/>
    <w:rsid w:val="006C3D28"/>
    <w:rsid w:val="006C4C8E"/>
    <w:rsid w:val="006D1C04"/>
    <w:rsid w:val="006D6436"/>
    <w:rsid w:val="006D724E"/>
    <w:rsid w:val="006D7419"/>
    <w:rsid w:val="006E0627"/>
    <w:rsid w:val="006E0F36"/>
    <w:rsid w:val="006E53A6"/>
    <w:rsid w:val="006E6EF8"/>
    <w:rsid w:val="006F1D6B"/>
    <w:rsid w:val="006F3F98"/>
    <w:rsid w:val="007004AF"/>
    <w:rsid w:val="00701F6C"/>
    <w:rsid w:val="0070424F"/>
    <w:rsid w:val="007108BA"/>
    <w:rsid w:val="00710AF4"/>
    <w:rsid w:val="00710FA6"/>
    <w:rsid w:val="00711800"/>
    <w:rsid w:val="007118D8"/>
    <w:rsid w:val="007122FD"/>
    <w:rsid w:val="00715C77"/>
    <w:rsid w:val="007164DF"/>
    <w:rsid w:val="0072107F"/>
    <w:rsid w:val="00722B8A"/>
    <w:rsid w:val="00724FD9"/>
    <w:rsid w:val="007251E3"/>
    <w:rsid w:val="0072631D"/>
    <w:rsid w:val="00726E25"/>
    <w:rsid w:val="00727D1A"/>
    <w:rsid w:val="007310DE"/>
    <w:rsid w:val="00737A6F"/>
    <w:rsid w:val="00742736"/>
    <w:rsid w:val="00744FFA"/>
    <w:rsid w:val="00745746"/>
    <w:rsid w:val="0075145A"/>
    <w:rsid w:val="00752D5A"/>
    <w:rsid w:val="00752D75"/>
    <w:rsid w:val="007541BD"/>
    <w:rsid w:val="007566C2"/>
    <w:rsid w:val="007577BC"/>
    <w:rsid w:val="00757F4A"/>
    <w:rsid w:val="007603B7"/>
    <w:rsid w:val="00765C9D"/>
    <w:rsid w:val="0076686A"/>
    <w:rsid w:val="007675B6"/>
    <w:rsid w:val="007676A7"/>
    <w:rsid w:val="007707C3"/>
    <w:rsid w:val="00772910"/>
    <w:rsid w:val="00772EE1"/>
    <w:rsid w:val="007751F1"/>
    <w:rsid w:val="00797193"/>
    <w:rsid w:val="00797B5F"/>
    <w:rsid w:val="007A0F04"/>
    <w:rsid w:val="007A2031"/>
    <w:rsid w:val="007B0D9F"/>
    <w:rsid w:val="007B14FA"/>
    <w:rsid w:val="007B38B5"/>
    <w:rsid w:val="007C0C9B"/>
    <w:rsid w:val="007C17F2"/>
    <w:rsid w:val="007C56AC"/>
    <w:rsid w:val="007C58AF"/>
    <w:rsid w:val="007C6DC0"/>
    <w:rsid w:val="007D1599"/>
    <w:rsid w:val="007D1F82"/>
    <w:rsid w:val="007D373B"/>
    <w:rsid w:val="007D54F3"/>
    <w:rsid w:val="007D6C76"/>
    <w:rsid w:val="007E063F"/>
    <w:rsid w:val="007E1234"/>
    <w:rsid w:val="007E593E"/>
    <w:rsid w:val="007E6092"/>
    <w:rsid w:val="007E6B6F"/>
    <w:rsid w:val="007E72F1"/>
    <w:rsid w:val="007F302C"/>
    <w:rsid w:val="007F4E28"/>
    <w:rsid w:val="007F72A9"/>
    <w:rsid w:val="007F7BE0"/>
    <w:rsid w:val="007F7D8D"/>
    <w:rsid w:val="00805702"/>
    <w:rsid w:val="00807722"/>
    <w:rsid w:val="008110ED"/>
    <w:rsid w:val="00812E64"/>
    <w:rsid w:val="0081391C"/>
    <w:rsid w:val="00816C01"/>
    <w:rsid w:val="008179C8"/>
    <w:rsid w:val="0082011A"/>
    <w:rsid w:val="0082113C"/>
    <w:rsid w:val="0082171D"/>
    <w:rsid w:val="008232FE"/>
    <w:rsid w:val="00825C87"/>
    <w:rsid w:val="00825FA9"/>
    <w:rsid w:val="00826E6B"/>
    <w:rsid w:val="00827644"/>
    <w:rsid w:val="0083129F"/>
    <w:rsid w:val="00833BDA"/>
    <w:rsid w:val="008342D2"/>
    <w:rsid w:val="00834BD1"/>
    <w:rsid w:val="00837A18"/>
    <w:rsid w:val="00837CED"/>
    <w:rsid w:val="008401B3"/>
    <w:rsid w:val="008418A0"/>
    <w:rsid w:val="0084273F"/>
    <w:rsid w:val="00842FDF"/>
    <w:rsid w:val="00845D1F"/>
    <w:rsid w:val="008470F4"/>
    <w:rsid w:val="00850F91"/>
    <w:rsid w:val="00852031"/>
    <w:rsid w:val="0085665A"/>
    <w:rsid w:val="00857513"/>
    <w:rsid w:val="0085754B"/>
    <w:rsid w:val="0086023C"/>
    <w:rsid w:val="00861A6B"/>
    <w:rsid w:val="00861C46"/>
    <w:rsid w:val="008632F0"/>
    <w:rsid w:val="00863384"/>
    <w:rsid w:val="00866F63"/>
    <w:rsid w:val="00867392"/>
    <w:rsid w:val="0087025D"/>
    <w:rsid w:val="00873FED"/>
    <w:rsid w:val="008741DA"/>
    <w:rsid w:val="00877802"/>
    <w:rsid w:val="00880953"/>
    <w:rsid w:val="00880E87"/>
    <w:rsid w:val="00886D0B"/>
    <w:rsid w:val="008917AD"/>
    <w:rsid w:val="00894042"/>
    <w:rsid w:val="00894EDC"/>
    <w:rsid w:val="008957DD"/>
    <w:rsid w:val="008A122B"/>
    <w:rsid w:val="008A6300"/>
    <w:rsid w:val="008A67B9"/>
    <w:rsid w:val="008A748A"/>
    <w:rsid w:val="008C0516"/>
    <w:rsid w:val="008C3767"/>
    <w:rsid w:val="008C5A3A"/>
    <w:rsid w:val="008C614B"/>
    <w:rsid w:val="008C7933"/>
    <w:rsid w:val="008D210E"/>
    <w:rsid w:val="008D3E18"/>
    <w:rsid w:val="008D599D"/>
    <w:rsid w:val="008D5AD3"/>
    <w:rsid w:val="008D6532"/>
    <w:rsid w:val="008D677F"/>
    <w:rsid w:val="008E0B57"/>
    <w:rsid w:val="008E2AA4"/>
    <w:rsid w:val="008E394A"/>
    <w:rsid w:val="008E6650"/>
    <w:rsid w:val="008F06CF"/>
    <w:rsid w:val="008F0DBD"/>
    <w:rsid w:val="008F3D05"/>
    <w:rsid w:val="008F5642"/>
    <w:rsid w:val="008F6478"/>
    <w:rsid w:val="009000BA"/>
    <w:rsid w:val="00903D41"/>
    <w:rsid w:val="00903D4F"/>
    <w:rsid w:val="00905DFD"/>
    <w:rsid w:val="009062C1"/>
    <w:rsid w:val="009107B4"/>
    <w:rsid w:val="009127B9"/>
    <w:rsid w:val="009134AF"/>
    <w:rsid w:val="00915101"/>
    <w:rsid w:val="00915AD6"/>
    <w:rsid w:val="009205C5"/>
    <w:rsid w:val="0092217A"/>
    <w:rsid w:val="00922E4E"/>
    <w:rsid w:val="0092384A"/>
    <w:rsid w:val="009250C6"/>
    <w:rsid w:val="00926C41"/>
    <w:rsid w:val="00927A0B"/>
    <w:rsid w:val="00927FEF"/>
    <w:rsid w:val="00930122"/>
    <w:rsid w:val="00930EB5"/>
    <w:rsid w:val="00931227"/>
    <w:rsid w:val="00932020"/>
    <w:rsid w:val="00935984"/>
    <w:rsid w:val="00937DE9"/>
    <w:rsid w:val="00940DDA"/>
    <w:rsid w:val="009419A7"/>
    <w:rsid w:val="00941E63"/>
    <w:rsid w:val="00942502"/>
    <w:rsid w:val="00944753"/>
    <w:rsid w:val="009456BF"/>
    <w:rsid w:val="00952145"/>
    <w:rsid w:val="00955787"/>
    <w:rsid w:val="009564CA"/>
    <w:rsid w:val="00956C5B"/>
    <w:rsid w:val="00956FFD"/>
    <w:rsid w:val="00960EDA"/>
    <w:rsid w:val="009623EC"/>
    <w:rsid w:val="00964841"/>
    <w:rsid w:val="009717BD"/>
    <w:rsid w:val="0097259B"/>
    <w:rsid w:val="00975E56"/>
    <w:rsid w:val="00981B0C"/>
    <w:rsid w:val="00983E04"/>
    <w:rsid w:val="0098438A"/>
    <w:rsid w:val="009861C0"/>
    <w:rsid w:val="00990724"/>
    <w:rsid w:val="00997E3C"/>
    <w:rsid w:val="00997E63"/>
    <w:rsid w:val="009A037F"/>
    <w:rsid w:val="009A59CA"/>
    <w:rsid w:val="009A64CB"/>
    <w:rsid w:val="009A6CFC"/>
    <w:rsid w:val="009B2431"/>
    <w:rsid w:val="009B2C18"/>
    <w:rsid w:val="009B653D"/>
    <w:rsid w:val="009C1062"/>
    <w:rsid w:val="009C175E"/>
    <w:rsid w:val="009C261D"/>
    <w:rsid w:val="009C5400"/>
    <w:rsid w:val="009C54B4"/>
    <w:rsid w:val="009C73C6"/>
    <w:rsid w:val="009C75F7"/>
    <w:rsid w:val="009D0880"/>
    <w:rsid w:val="009D6750"/>
    <w:rsid w:val="009D6985"/>
    <w:rsid w:val="009D7438"/>
    <w:rsid w:val="009E3007"/>
    <w:rsid w:val="009E3CA0"/>
    <w:rsid w:val="009F1AA2"/>
    <w:rsid w:val="009F1DF0"/>
    <w:rsid w:val="00A01FA7"/>
    <w:rsid w:val="00A02253"/>
    <w:rsid w:val="00A11B01"/>
    <w:rsid w:val="00A1653B"/>
    <w:rsid w:val="00A2073E"/>
    <w:rsid w:val="00A2558A"/>
    <w:rsid w:val="00A25ED7"/>
    <w:rsid w:val="00A2671D"/>
    <w:rsid w:val="00A2691E"/>
    <w:rsid w:val="00A30C69"/>
    <w:rsid w:val="00A31414"/>
    <w:rsid w:val="00A32B70"/>
    <w:rsid w:val="00A338B7"/>
    <w:rsid w:val="00A35F2C"/>
    <w:rsid w:val="00A36E58"/>
    <w:rsid w:val="00A4035D"/>
    <w:rsid w:val="00A41345"/>
    <w:rsid w:val="00A43675"/>
    <w:rsid w:val="00A44CD3"/>
    <w:rsid w:val="00A47ED7"/>
    <w:rsid w:val="00A51148"/>
    <w:rsid w:val="00A514A1"/>
    <w:rsid w:val="00A5206F"/>
    <w:rsid w:val="00A53647"/>
    <w:rsid w:val="00A5633E"/>
    <w:rsid w:val="00A65389"/>
    <w:rsid w:val="00A65485"/>
    <w:rsid w:val="00A675C6"/>
    <w:rsid w:val="00A71A24"/>
    <w:rsid w:val="00A77295"/>
    <w:rsid w:val="00A77341"/>
    <w:rsid w:val="00A8347F"/>
    <w:rsid w:val="00A85076"/>
    <w:rsid w:val="00A90D26"/>
    <w:rsid w:val="00A90D6C"/>
    <w:rsid w:val="00A910ED"/>
    <w:rsid w:val="00A9110E"/>
    <w:rsid w:val="00A9429E"/>
    <w:rsid w:val="00A950D9"/>
    <w:rsid w:val="00A97CFE"/>
    <w:rsid w:val="00AA12FC"/>
    <w:rsid w:val="00AA157B"/>
    <w:rsid w:val="00AA1B04"/>
    <w:rsid w:val="00AA3298"/>
    <w:rsid w:val="00AA44AF"/>
    <w:rsid w:val="00AB02B9"/>
    <w:rsid w:val="00AB09F5"/>
    <w:rsid w:val="00AB2B78"/>
    <w:rsid w:val="00AB36DE"/>
    <w:rsid w:val="00AB38F0"/>
    <w:rsid w:val="00AB4C0E"/>
    <w:rsid w:val="00AB5687"/>
    <w:rsid w:val="00AB6E20"/>
    <w:rsid w:val="00AB7944"/>
    <w:rsid w:val="00AC3685"/>
    <w:rsid w:val="00AC6FE5"/>
    <w:rsid w:val="00AC7091"/>
    <w:rsid w:val="00AD1265"/>
    <w:rsid w:val="00AD382F"/>
    <w:rsid w:val="00AD447C"/>
    <w:rsid w:val="00AD58FC"/>
    <w:rsid w:val="00AE0614"/>
    <w:rsid w:val="00AE10F7"/>
    <w:rsid w:val="00AE2090"/>
    <w:rsid w:val="00AE368D"/>
    <w:rsid w:val="00AF1ED2"/>
    <w:rsid w:val="00AF464B"/>
    <w:rsid w:val="00AF4E75"/>
    <w:rsid w:val="00AF7A4A"/>
    <w:rsid w:val="00AF7FBD"/>
    <w:rsid w:val="00B0097A"/>
    <w:rsid w:val="00B0221F"/>
    <w:rsid w:val="00B05680"/>
    <w:rsid w:val="00B0799D"/>
    <w:rsid w:val="00B21933"/>
    <w:rsid w:val="00B22D4A"/>
    <w:rsid w:val="00B2382D"/>
    <w:rsid w:val="00B260AF"/>
    <w:rsid w:val="00B275B6"/>
    <w:rsid w:val="00B30E88"/>
    <w:rsid w:val="00B33489"/>
    <w:rsid w:val="00B33614"/>
    <w:rsid w:val="00B34F85"/>
    <w:rsid w:val="00B37956"/>
    <w:rsid w:val="00B444C0"/>
    <w:rsid w:val="00B47CB4"/>
    <w:rsid w:val="00B50C4E"/>
    <w:rsid w:val="00B50ECD"/>
    <w:rsid w:val="00B5443D"/>
    <w:rsid w:val="00B56B63"/>
    <w:rsid w:val="00B61492"/>
    <w:rsid w:val="00B649C4"/>
    <w:rsid w:val="00B66341"/>
    <w:rsid w:val="00B71350"/>
    <w:rsid w:val="00B713BC"/>
    <w:rsid w:val="00B729E0"/>
    <w:rsid w:val="00B76930"/>
    <w:rsid w:val="00B76F06"/>
    <w:rsid w:val="00B77345"/>
    <w:rsid w:val="00B77B1E"/>
    <w:rsid w:val="00B82B7A"/>
    <w:rsid w:val="00B82E2C"/>
    <w:rsid w:val="00B85B15"/>
    <w:rsid w:val="00B926A2"/>
    <w:rsid w:val="00B92D54"/>
    <w:rsid w:val="00B93861"/>
    <w:rsid w:val="00B941DA"/>
    <w:rsid w:val="00B96948"/>
    <w:rsid w:val="00B97DA7"/>
    <w:rsid w:val="00BA5FAA"/>
    <w:rsid w:val="00BA60A7"/>
    <w:rsid w:val="00BA7DFE"/>
    <w:rsid w:val="00BB0E58"/>
    <w:rsid w:val="00BB1035"/>
    <w:rsid w:val="00BB40C7"/>
    <w:rsid w:val="00BB47B4"/>
    <w:rsid w:val="00BB498C"/>
    <w:rsid w:val="00BC082F"/>
    <w:rsid w:val="00BC2FEC"/>
    <w:rsid w:val="00BC3419"/>
    <w:rsid w:val="00BC5222"/>
    <w:rsid w:val="00BD0EA7"/>
    <w:rsid w:val="00BD1B37"/>
    <w:rsid w:val="00BD28EC"/>
    <w:rsid w:val="00BD3D31"/>
    <w:rsid w:val="00BD3E81"/>
    <w:rsid w:val="00BD4092"/>
    <w:rsid w:val="00BD45A4"/>
    <w:rsid w:val="00BD4946"/>
    <w:rsid w:val="00BD4CCB"/>
    <w:rsid w:val="00BD5AC2"/>
    <w:rsid w:val="00BD63A3"/>
    <w:rsid w:val="00BD7330"/>
    <w:rsid w:val="00BE10E0"/>
    <w:rsid w:val="00BE5915"/>
    <w:rsid w:val="00BE66FF"/>
    <w:rsid w:val="00BE7F70"/>
    <w:rsid w:val="00BF09C5"/>
    <w:rsid w:val="00BF10D0"/>
    <w:rsid w:val="00BF2A79"/>
    <w:rsid w:val="00BF37CF"/>
    <w:rsid w:val="00BF4846"/>
    <w:rsid w:val="00BF4BB6"/>
    <w:rsid w:val="00C02BFB"/>
    <w:rsid w:val="00C02D42"/>
    <w:rsid w:val="00C02E49"/>
    <w:rsid w:val="00C03F44"/>
    <w:rsid w:val="00C053BA"/>
    <w:rsid w:val="00C05930"/>
    <w:rsid w:val="00C07FF5"/>
    <w:rsid w:val="00C102FD"/>
    <w:rsid w:val="00C10E00"/>
    <w:rsid w:val="00C12E57"/>
    <w:rsid w:val="00C15661"/>
    <w:rsid w:val="00C17ACB"/>
    <w:rsid w:val="00C2017A"/>
    <w:rsid w:val="00C20B59"/>
    <w:rsid w:val="00C32BCC"/>
    <w:rsid w:val="00C34650"/>
    <w:rsid w:val="00C347B4"/>
    <w:rsid w:val="00C35E97"/>
    <w:rsid w:val="00C40A51"/>
    <w:rsid w:val="00C42241"/>
    <w:rsid w:val="00C43B2B"/>
    <w:rsid w:val="00C47D48"/>
    <w:rsid w:val="00C50AD5"/>
    <w:rsid w:val="00C50BA1"/>
    <w:rsid w:val="00C55D0E"/>
    <w:rsid w:val="00C57030"/>
    <w:rsid w:val="00C57497"/>
    <w:rsid w:val="00C64E03"/>
    <w:rsid w:val="00C660D8"/>
    <w:rsid w:val="00C71959"/>
    <w:rsid w:val="00C71FF4"/>
    <w:rsid w:val="00C7288C"/>
    <w:rsid w:val="00C732F5"/>
    <w:rsid w:val="00C82A85"/>
    <w:rsid w:val="00C8311C"/>
    <w:rsid w:val="00C83BF1"/>
    <w:rsid w:val="00C853D3"/>
    <w:rsid w:val="00C858D9"/>
    <w:rsid w:val="00C86676"/>
    <w:rsid w:val="00C86E67"/>
    <w:rsid w:val="00C91B57"/>
    <w:rsid w:val="00C923F8"/>
    <w:rsid w:val="00C92EDD"/>
    <w:rsid w:val="00C93489"/>
    <w:rsid w:val="00C9418C"/>
    <w:rsid w:val="00C95B1D"/>
    <w:rsid w:val="00C95B6C"/>
    <w:rsid w:val="00CA3317"/>
    <w:rsid w:val="00CA4FCD"/>
    <w:rsid w:val="00CA66CF"/>
    <w:rsid w:val="00CB4BA6"/>
    <w:rsid w:val="00CB6D4E"/>
    <w:rsid w:val="00CC033C"/>
    <w:rsid w:val="00CC272B"/>
    <w:rsid w:val="00CC56A1"/>
    <w:rsid w:val="00CC6586"/>
    <w:rsid w:val="00CC76BF"/>
    <w:rsid w:val="00CD5566"/>
    <w:rsid w:val="00CD6A74"/>
    <w:rsid w:val="00CD6FA9"/>
    <w:rsid w:val="00CE024D"/>
    <w:rsid w:val="00CE0C34"/>
    <w:rsid w:val="00CE0F87"/>
    <w:rsid w:val="00CE2FDD"/>
    <w:rsid w:val="00CE30B8"/>
    <w:rsid w:val="00CE517C"/>
    <w:rsid w:val="00CE77BC"/>
    <w:rsid w:val="00CE7BD8"/>
    <w:rsid w:val="00CF13C8"/>
    <w:rsid w:val="00CF208A"/>
    <w:rsid w:val="00CF4133"/>
    <w:rsid w:val="00CF42F1"/>
    <w:rsid w:val="00D0029F"/>
    <w:rsid w:val="00D003A0"/>
    <w:rsid w:val="00D008B6"/>
    <w:rsid w:val="00D03934"/>
    <w:rsid w:val="00D03A90"/>
    <w:rsid w:val="00D055B2"/>
    <w:rsid w:val="00D072A9"/>
    <w:rsid w:val="00D104B2"/>
    <w:rsid w:val="00D1409D"/>
    <w:rsid w:val="00D14F6F"/>
    <w:rsid w:val="00D200C0"/>
    <w:rsid w:val="00D2069A"/>
    <w:rsid w:val="00D22AED"/>
    <w:rsid w:val="00D238F6"/>
    <w:rsid w:val="00D26ECC"/>
    <w:rsid w:val="00D30093"/>
    <w:rsid w:val="00D3145A"/>
    <w:rsid w:val="00D319CC"/>
    <w:rsid w:val="00D32A95"/>
    <w:rsid w:val="00D34B2A"/>
    <w:rsid w:val="00D41839"/>
    <w:rsid w:val="00D419B4"/>
    <w:rsid w:val="00D449A9"/>
    <w:rsid w:val="00D44E76"/>
    <w:rsid w:val="00D45433"/>
    <w:rsid w:val="00D45CDE"/>
    <w:rsid w:val="00D46781"/>
    <w:rsid w:val="00D47FF9"/>
    <w:rsid w:val="00D5016D"/>
    <w:rsid w:val="00D5171D"/>
    <w:rsid w:val="00D545C7"/>
    <w:rsid w:val="00D55198"/>
    <w:rsid w:val="00D60321"/>
    <w:rsid w:val="00D61487"/>
    <w:rsid w:val="00D629DD"/>
    <w:rsid w:val="00D63296"/>
    <w:rsid w:val="00D634C1"/>
    <w:rsid w:val="00D63DEF"/>
    <w:rsid w:val="00D648D4"/>
    <w:rsid w:val="00D64FCB"/>
    <w:rsid w:val="00D65C7E"/>
    <w:rsid w:val="00D66B92"/>
    <w:rsid w:val="00D676B1"/>
    <w:rsid w:val="00D70B46"/>
    <w:rsid w:val="00D710A9"/>
    <w:rsid w:val="00D71666"/>
    <w:rsid w:val="00D72A6B"/>
    <w:rsid w:val="00D75409"/>
    <w:rsid w:val="00D813BC"/>
    <w:rsid w:val="00D84CE8"/>
    <w:rsid w:val="00D866BF"/>
    <w:rsid w:val="00D866CD"/>
    <w:rsid w:val="00D926D1"/>
    <w:rsid w:val="00D92952"/>
    <w:rsid w:val="00D93C0F"/>
    <w:rsid w:val="00D95448"/>
    <w:rsid w:val="00D964C0"/>
    <w:rsid w:val="00D97017"/>
    <w:rsid w:val="00D97740"/>
    <w:rsid w:val="00DA082B"/>
    <w:rsid w:val="00DB4516"/>
    <w:rsid w:val="00DB70C2"/>
    <w:rsid w:val="00DB7349"/>
    <w:rsid w:val="00DC1C82"/>
    <w:rsid w:val="00DC4997"/>
    <w:rsid w:val="00DC68BA"/>
    <w:rsid w:val="00DC6AB6"/>
    <w:rsid w:val="00DC72A4"/>
    <w:rsid w:val="00DC7695"/>
    <w:rsid w:val="00DD04DE"/>
    <w:rsid w:val="00DD07FB"/>
    <w:rsid w:val="00DD348A"/>
    <w:rsid w:val="00DD37E0"/>
    <w:rsid w:val="00DD50E8"/>
    <w:rsid w:val="00DD76BC"/>
    <w:rsid w:val="00DE0441"/>
    <w:rsid w:val="00DE1441"/>
    <w:rsid w:val="00DE343A"/>
    <w:rsid w:val="00DE4823"/>
    <w:rsid w:val="00DE5159"/>
    <w:rsid w:val="00DE72D7"/>
    <w:rsid w:val="00DF2A7D"/>
    <w:rsid w:val="00DF3AC7"/>
    <w:rsid w:val="00DF5C02"/>
    <w:rsid w:val="00DF69FC"/>
    <w:rsid w:val="00DF6F66"/>
    <w:rsid w:val="00DF6F85"/>
    <w:rsid w:val="00DF7292"/>
    <w:rsid w:val="00DF74FF"/>
    <w:rsid w:val="00E003CC"/>
    <w:rsid w:val="00E02A8C"/>
    <w:rsid w:val="00E03E17"/>
    <w:rsid w:val="00E056DF"/>
    <w:rsid w:val="00E05B86"/>
    <w:rsid w:val="00E05DCE"/>
    <w:rsid w:val="00E116CD"/>
    <w:rsid w:val="00E11E04"/>
    <w:rsid w:val="00E1231B"/>
    <w:rsid w:val="00E15FD2"/>
    <w:rsid w:val="00E17942"/>
    <w:rsid w:val="00E217E7"/>
    <w:rsid w:val="00E23F9A"/>
    <w:rsid w:val="00E25FFF"/>
    <w:rsid w:val="00E31EFC"/>
    <w:rsid w:val="00E34E9C"/>
    <w:rsid w:val="00E36AFF"/>
    <w:rsid w:val="00E4055F"/>
    <w:rsid w:val="00E412E3"/>
    <w:rsid w:val="00E418B8"/>
    <w:rsid w:val="00E423D7"/>
    <w:rsid w:val="00E43958"/>
    <w:rsid w:val="00E43AB1"/>
    <w:rsid w:val="00E4529A"/>
    <w:rsid w:val="00E504F1"/>
    <w:rsid w:val="00E51221"/>
    <w:rsid w:val="00E5486C"/>
    <w:rsid w:val="00E56B75"/>
    <w:rsid w:val="00E574FE"/>
    <w:rsid w:val="00E60CD2"/>
    <w:rsid w:val="00E62D83"/>
    <w:rsid w:val="00E66D97"/>
    <w:rsid w:val="00E66DD0"/>
    <w:rsid w:val="00E67F4C"/>
    <w:rsid w:val="00E7356A"/>
    <w:rsid w:val="00E76083"/>
    <w:rsid w:val="00E820EE"/>
    <w:rsid w:val="00E82B8A"/>
    <w:rsid w:val="00E83204"/>
    <w:rsid w:val="00E83BD5"/>
    <w:rsid w:val="00E84D5C"/>
    <w:rsid w:val="00E85037"/>
    <w:rsid w:val="00E905EE"/>
    <w:rsid w:val="00E90628"/>
    <w:rsid w:val="00E92247"/>
    <w:rsid w:val="00E92708"/>
    <w:rsid w:val="00E954F6"/>
    <w:rsid w:val="00E97C54"/>
    <w:rsid w:val="00EA0BE5"/>
    <w:rsid w:val="00EA1E8C"/>
    <w:rsid w:val="00EA4052"/>
    <w:rsid w:val="00EA4147"/>
    <w:rsid w:val="00EB141C"/>
    <w:rsid w:val="00EB7DB1"/>
    <w:rsid w:val="00EC0AAC"/>
    <w:rsid w:val="00EC0BFB"/>
    <w:rsid w:val="00EC52D4"/>
    <w:rsid w:val="00EC6EC9"/>
    <w:rsid w:val="00EC790A"/>
    <w:rsid w:val="00ED0D26"/>
    <w:rsid w:val="00ED1007"/>
    <w:rsid w:val="00ED2A90"/>
    <w:rsid w:val="00ED37DA"/>
    <w:rsid w:val="00EE037D"/>
    <w:rsid w:val="00EE07A1"/>
    <w:rsid w:val="00EE381A"/>
    <w:rsid w:val="00EE3E96"/>
    <w:rsid w:val="00EE40A2"/>
    <w:rsid w:val="00EE70DE"/>
    <w:rsid w:val="00EE7C94"/>
    <w:rsid w:val="00EF14E4"/>
    <w:rsid w:val="00EF16D4"/>
    <w:rsid w:val="00EF1A27"/>
    <w:rsid w:val="00EF3E44"/>
    <w:rsid w:val="00F008FA"/>
    <w:rsid w:val="00F014CF"/>
    <w:rsid w:val="00F01BB5"/>
    <w:rsid w:val="00F02070"/>
    <w:rsid w:val="00F06422"/>
    <w:rsid w:val="00F13DBB"/>
    <w:rsid w:val="00F15BBF"/>
    <w:rsid w:val="00F16E39"/>
    <w:rsid w:val="00F1726A"/>
    <w:rsid w:val="00F2344E"/>
    <w:rsid w:val="00F235D6"/>
    <w:rsid w:val="00F26160"/>
    <w:rsid w:val="00F26354"/>
    <w:rsid w:val="00F267E9"/>
    <w:rsid w:val="00F270E1"/>
    <w:rsid w:val="00F27509"/>
    <w:rsid w:val="00F27DE4"/>
    <w:rsid w:val="00F27DFF"/>
    <w:rsid w:val="00F31501"/>
    <w:rsid w:val="00F34DF8"/>
    <w:rsid w:val="00F3707A"/>
    <w:rsid w:val="00F4037C"/>
    <w:rsid w:val="00F406AD"/>
    <w:rsid w:val="00F42A9D"/>
    <w:rsid w:val="00F42AA0"/>
    <w:rsid w:val="00F460EB"/>
    <w:rsid w:val="00F465FA"/>
    <w:rsid w:val="00F50568"/>
    <w:rsid w:val="00F5404D"/>
    <w:rsid w:val="00F54C32"/>
    <w:rsid w:val="00F55883"/>
    <w:rsid w:val="00F55A39"/>
    <w:rsid w:val="00F57F62"/>
    <w:rsid w:val="00F61A86"/>
    <w:rsid w:val="00F6372F"/>
    <w:rsid w:val="00F64CCE"/>
    <w:rsid w:val="00F65542"/>
    <w:rsid w:val="00F65F32"/>
    <w:rsid w:val="00F66B79"/>
    <w:rsid w:val="00F679C0"/>
    <w:rsid w:val="00F67FC3"/>
    <w:rsid w:val="00F715B3"/>
    <w:rsid w:val="00F71BB2"/>
    <w:rsid w:val="00F72AD9"/>
    <w:rsid w:val="00F7741E"/>
    <w:rsid w:val="00F842D7"/>
    <w:rsid w:val="00F86722"/>
    <w:rsid w:val="00F86BA7"/>
    <w:rsid w:val="00F8782C"/>
    <w:rsid w:val="00F97AA0"/>
    <w:rsid w:val="00FA0E4E"/>
    <w:rsid w:val="00FA385B"/>
    <w:rsid w:val="00FA58B3"/>
    <w:rsid w:val="00FA63F4"/>
    <w:rsid w:val="00FB000A"/>
    <w:rsid w:val="00FB1873"/>
    <w:rsid w:val="00FB37F5"/>
    <w:rsid w:val="00FB4663"/>
    <w:rsid w:val="00FB63E9"/>
    <w:rsid w:val="00FB650B"/>
    <w:rsid w:val="00FB6DCC"/>
    <w:rsid w:val="00FB7675"/>
    <w:rsid w:val="00FC1324"/>
    <w:rsid w:val="00FC2A98"/>
    <w:rsid w:val="00FC60B4"/>
    <w:rsid w:val="00FC6831"/>
    <w:rsid w:val="00FC6FE2"/>
    <w:rsid w:val="00FC7C87"/>
    <w:rsid w:val="00FD4854"/>
    <w:rsid w:val="00FD5428"/>
    <w:rsid w:val="00FD6375"/>
    <w:rsid w:val="00FD71EC"/>
    <w:rsid w:val="00FD7425"/>
    <w:rsid w:val="00FE04BF"/>
    <w:rsid w:val="00FE0D70"/>
    <w:rsid w:val="00FE174B"/>
    <w:rsid w:val="00FE3E3B"/>
    <w:rsid w:val="00FE40F0"/>
    <w:rsid w:val="00FE4388"/>
    <w:rsid w:val="00FE6DDE"/>
    <w:rsid w:val="00FF6BCD"/>
    <w:rsid w:val="00FF7BB7"/>
  </w:rsids>
  <m:mathPr>
    <m:mathFont m:val="Cambria Math"/>
    <m:brkBin m:val="before"/>
    <m:brkBinSub m:val="--"/>
    <m:smallFrac/>
    <m:dispDef/>
    <m:lMargin m:val="0"/>
    <m:rMargin m:val="0"/>
    <m:defJc m:val="centerGroup"/>
    <m:wrapRight/>
    <m:intLim m:val="subSup"/>
    <m:naryLim m:val="subSup"/>
  </m:mathPr>
  <w:themeFontLang w:val="it-IT"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FA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9"/>
    <w:qFormat/>
    <w:rsid w:val="005235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uiPriority w:val="9"/>
    <w:unhideWhenUsed/>
    <w:qFormat/>
    <w:rsid w:val="002241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4260C"/>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44260C"/>
    <w:rPr>
      <w:rFonts w:ascii="Lucida Grande" w:hAnsi="Lucida Grande" w:cs="Lucida Grande"/>
      <w:sz w:val="18"/>
      <w:szCs w:val="18"/>
    </w:rPr>
  </w:style>
  <w:style w:type="character" w:customStyle="1" w:styleId="Titolo1Carattere">
    <w:name w:val="Titolo 1 Carattere"/>
    <w:basedOn w:val="Caratterepredefinitoparagrafo"/>
    <w:link w:val="Titolo1"/>
    <w:uiPriority w:val="99"/>
    <w:rsid w:val="00523523"/>
    <w:rPr>
      <w:rFonts w:asciiTheme="majorHAnsi" w:eastAsiaTheme="majorEastAsia" w:hAnsiTheme="majorHAnsi" w:cstheme="majorBidi"/>
      <w:b/>
      <w:bCs/>
      <w:color w:val="345A8A" w:themeColor="accent1" w:themeShade="B5"/>
      <w:sz w:val="32"/>
      <w:szCs w:val="32"/>
    </w:rPr>
  </w:style>
  <w:style w:type="paragraph" w:customStyle="1" w:styleId="testo">
    <w:name w:val="testo"/>
    <w:basedOn w:val="Normale"/>
    <w:link w:val="testoCarattere"/>
    <w:rsid w:val="006B4005"/>
    <w:pPr>
      <w:widowControl w:val="0"/>
      <w:overflowPunct w:val="0"/>
      <w:autoSpaceDE w:val="0"/>
      <w:autoSpaceDN w:val="0"/>
      <w:adjustRightInd w:val="0"/>
      <w:spacing w:line="320" w:lineRule="atLeast"/>
      <w:ind w:firstLine="284"/>
      <w:jc w:val="both"/>
    </w:pPr>
    <w:rPr>
      <w:rFonts w:ascii="Times New Roman" w:eastAsia="Calibri" w:hAnsi="Times New Roman" w:cs="Times New Roman"/>
      <w:szCs w:val="20"/>
    </w:rPr>
  </w:style>
  <w:style w:type="character" w:customStyle="1" w:styleId="testoCarattere">
    <w:name w:val="testo Carattere"/>
    <w:link w:val="testo"/>
    <w:locked/>
    <w:rsid w:val="006B4005"/>
    <w:rPr>
      <w:rFonts w:ascii="Times New Roman" w:eastAsia="Calibri" w:hAnsi="Times New Roman" w:cs="Times New Roman"/>
      <w:szCs w:val="20"/>
    </w:rPr>
  </w:style>
  <w:style w:type="paragraph" w:customStyle="1" w:styleId="testob">
    <w:name w:val="testob"/>
    <w:basedOn w:val="Normale"/>
    <w:rsid w:val="006B4005"/>
    <w:pPr>
      <w:widowControl w:val="0"/>
      <w:spacing w:line="320" w:lineRule="atLeast"/>
      <w:ind w:firstLine="227"/>
      <w:jc w:val="both"/>
    </w:pPr>
    <w:rPr>
      <w:rFonts w:ascii="CenturyOldst BT" w:eastAsia="Calibri" w:hAnsi="CenturyOldst BT" w:cs="Times New Roman"/>
      <w:sz w:val="22"/>
      <w:szCs w:val="20"/>
    </w:rPr>
  </w:style>
  <w:style w:type="paragraph" w:styleId="Testonormale">
    <w:name w:val="Plain Text"/>
    <w:basedOn w:val="Normale"/>
    <w:link w:val="TestonormaleCarattere"/>
    <w:rsid w:val="00B50ECD"/>
    <w:rPr>
      <w:rFonts w:ascii="Consolas" w:eastAsia="Times New Roman" w:hAnsi="Consolas" w:cs="Consolas"/>
      <w:sz w:val="21"/>
      <w:szCs w:val="21"/>
      <w:lang w:eastAsia="en-US"/>
    </w:rPr>
  </w:style>
  <w:style w:type="character" w:customStyle="1" w:styleId="TestonormaleCarattere">
    <w:name w:val="Testo normale Carattere"/>
    <w:basedOn w:val="Caratterepredefinitoparagrafo"/>
    <w:link w:val="Testonormale"/>
    <w:rsid w:val="00B50ECD"/>
    <w:rPr>
      <w:rFonts w:ascii="Consolas" w:eastAsia="Times New Roman" w:hAnsi="Consolas" w:cs="Consolas"/>
      <w:sz w:val="21"/>
      <w:szCs w:val="21"/>
      <w:lang w:eastAsia="en-US"/>
    </w:rPr>
  </w:style>
  <w:style w:type="paragraph" w:styleId="Paragrafoelenco">
    <w:name w:val="List Paragraph"/>
    <w:basedOn w:val="Normale"/>
    <w:uiPriority w:val="99"/>
    <w:qFormat/>
    <w:rsid w:val="002144D1"/>
    <w:pPr>
      <w:ind w:left="720"/>
      <w:contextualSpacing/>
    </w:pPr>
  </w:style>
  <w:style w:type="paragraph" w:styleId="Sommario1">
    <w:name w:val="toc 1"/>
    <w:basedOn w:val="Normale"/>
    <w:next w:val="Normale"/>
    <w:autoRedefine/>
    <w:uiPriority w:val="39"/>
    <w:unhideWhenUsed/>
    <w:rsid w:val="008E0B57"/>
    <w:pPr>
      <w:tabs>
        <w:tab w:val="right" w:leader="dot" w:pos="6096"/>
      </w:tabs>
    </w:pPr>
  </w:style>
  <w:style w:type="paragraph" w:styleId="Sommario2">
    <w:name w:val="toc 2"/>
    <w:basedOn w:val="Normale"/>
    <w:next w:val="Normale"/>
    <w:autoRedefine/>
    <w:uiPriority w:val="39"/>
    <w:unhideWhenUsed/>
    <w:rsid w:val="002241E2"/>
    <w:pPr>
      <w:ind w:left="240"/>
    </w:pPr>
  </w:style>
  <w:style w:type="paragraph" w:styleId="Sommario3">
    <w:name w:val="toc 3"/>
    <w:basedOn w:val="Normale"/>
    <w:next w:val="Normale"/>
    <w:autoRedefine/>
    <w:uiPriority w:val="39"/>
    <w:unhideWhenUsed/>
    <w:rsid w:val="002241E2"/>
    <w:pPr>
      <w:ind w:left="480"/>
    </w:pPr>
  </w:style>
  <w:style w:type="paragraph" w:styleId="Sommario4">
    <w:name w:val="toc 4"/>
    <w:basedOn w:val="Normale"/>
    <w:next w:val="Normale"/>
    <w:autoRedefine/>
    <w:uiPriority w:val="39"/>
    <w:unhideWhenUsed/>
    <w:rsid w:val="002241E2"/>
    <w:pPr>
      <w:ind w:left="720"/>
    </w:pPr>
  </w:style>
  <w:style w:type="paragraph" w:styleId="Sommario5">
    <w:name w:val="toc 5"/>
    <w:basedOn w:val="Normale"/>
    <w:next w:val="Normale"/>
    <w:autoRedefine/>
    <w:uiPriority w:val="39"/>
    <w:unhideWhenUsed/>
    <w:rsid w:val="002241E2"/>
    <w:pPr>
      <w:ind w:left="960"/>
    </w:pPr>
  </w:style>
  <w:style w:type="paragraph" w:styleId="Sommario6">
    <w:name w:val="toc 6"/>
    <w:basedOn w:val="Normale"/>
    <w:next w:val="Normale"/>
    <w:autoRedefine/>
    <w:uiPriority w:val="39"/>
    <w:unhideWhenUsed/>
    <w:rsid w:val="002241E2"/>
    <w:pPr>
      <w:ind w:left="1200"/>
    </w:pPr>
  </w:style>
  <w:style w:type="paragraph" w:styleId="Sommario7">
    <w:name w:val="toc 7"/>
    <w:basedOn w:val="Normale"/>
    <w:next w:val="Normale"/>
    <w:autoRedefine/>
    <w:uiPriority w:val="39"/>
    <w:unhideWhenUsed/>
    <w:rsid w:val="002241E2"/>
    <w:pPr>
      <w:ind w:left="1440"/>
    </w:pPr>
  </w:style>
  <w:style w:type="paragraph" w:styleId="Sommario8">
    <w:name w:val="toc 8"/>
    <w:basedOn w:val="Normale"/>
    <w:next w:val="Normale"/>
    <w:autoRedefine/>
    <w:uiPriority w:val="39"/>
    <w:unhideWhenUsed/>
    <w:rsid w:val="002241E2"/>
    <w:pPr>
      <w:ind w:left="1680"/>
    </w:pPr>
  </w:style>
  <w:style w:type="paragraph" w:styleId="Sommario9">
    <w:name w:val="toc 9"/>
    <w:basedOn w:val="Normale"/>
    <w:next w:val="Normale"/>
    <w:autoRedefine/>
    <w:uiPriority w:val="39"/>
    <w:unhideWhenUsed/>
    <w:rsid w:val="002241E2"/>
    <w:pPr>
      <w:ind w:left="1920"/>
    </w:pPr>
  </w:style>
  <w:style w:type="character" w:customStyle="1" w:styleId="Titolo2Carattere">
    <w:name w:val="Titolo 2 Carattere"/>
    <w:basedOn w:val="Caratterepredefinitoparagrafo"/>
    <w:link w:val="Titolo2"/>
    <w:uiPriority w:val="9"/>
    <w:rsid w:val="002241E2"/>
    <w:rPr>
      <w:rFonts w:asciiTheme="majorHAnsi" w:eastAsiaTheme="majorEastAsia" w:hAnsiTheme="majorHAnsi" w:cstheme="majorBidi"/>
      <w:b/>
      <w:bCs/>
      <w:color w:val="4F81BD" w:themeColor="accent1"/>
      <w:sz w:val="26"/>
      <w:szCs w:val="26"/>
    </w:rPr>
  </w:style>
  <w:style w:type="paragraph" w:styleId="Pidipagina">
    <w:name w:val="footer"/>
    <w:basedOn w:val="Normale"/>
    <w:link w:val="PidipaginaCarattere"/>
    <w:uiPriority w:val="99"/>
    <w:unhideWhenUsed/>
    <w:rsid w:val="00C053BA"/>
    <w:pPr>
      <w:tabs>
        <w:tab w:val="center" w:pos="4819"/>
        <w:tab w:val="right" w:pos="9638"/>
      </w:tabs>
    </w:pPr>
  </w:style>
  <w:style w:type="character" w:customStyle="1" w:styleId="PidipaginaCarattere">
    <w:name w:val="Piè di pagina Carattere"/>
    <w:basedOn w:val="Caratterepredefinitoparagrafo"/>
    <w:link w:val="Pidipagina"/>
    <w:uiPriority w:val="99"/>
    <w:rsid w:val="00C053BA"/>
  </w:style>
  <w:style w:type="character" w:styleId="Numeropagina">
    <w:name w:val="page number"/>
    <w:basedOn w:val="Caratterepredefinitoparagrafo"/>
    <w:uiPriority w:val="99"/>
    <w:semiHidden/>
    <w:unhideWhenUsed/>
    <w:rsid w:val="00C053BA"/>
  </w:style>
  <w:style w:type="paragraph" w:styleId="Intestazione">
    <w:name w:val="header"/>
    <w:basedOn w:val="Normale"/>
    <w:link w:val="IntestazioneCarattere"/>
    <w:uiPriority w:val="99"/>
    <w:unhideWhenUsed/>
    <w:rsid w:val="00C053BA"/>
    <w:pPr>
      <w:tabs>
        <w:tab w:val="center" w:pos="4819"/>
        <w:tab w:val="right" w:pos="9638"/>
      </w:tabs>
    </w:pPr>
  </w:style>
  <w:style w:type="character" w:customStyle="1" w:styleId="IntestazioneCarattere">
    <w:name w:val="Intestazione Carattere"/>
    <w:basedOn w:val="Caratterepredefinitoparagrafo"/>
    <w:link w:val="Intestazione"/>
    <w:uiPriority w:val="99"/>
    <w:rsid w:val="00C053BA"/>
  </w:style>
  <w:style w:type="table" w:styleId="Sfondochiaro">
    <w:name w:val="Light Shading"/>
    <w:basedOn w:val="Tabellanormale"/>
    <w:uiPriority w:val="60"/>
    <w:rsid w:val="00EA405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medio1">
    <w:name w:val="Medium Shading 1"/>
    <w:basedOn w:val="Tabellanormale"/>
    <w:uiPriority w:val="63"/>
    <w:rsid w:val="00EA405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EA4052"/>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orpodeltesto">
    <w:name w:val="Body Text"/>
    <w:basedOn w:val="Normale"/>
    <w:link w:val="CorpodeltestoCarattere"/>
    <w:uiPriority w:val="99"/>
    <w:rsid w:val="00FE04BF"/>
    <w:pPr>
      <w:spacing w:line="360" w:lineRule="auto"/>
      <w:jc w:val="both"/>
    </w:pPr>
    <w:rPr>
      <w:rFonts w:ascii="Times New Roman" w:eastAsia="Times New Roman" w:hAnsi="Times New Roman" w:cs="Times New Roman"/>
      <w:szCs w:val="20"/>
    </w:rPr>
  </w:style>
  <w:style w:type="character" w:customStyle="1" w:styleId="CorpodeltestoCarattere">
    <w:name w:val="Corpo del testo Carattere"/>
    <w:basedOn w:val="Caratterepredefinitoparagrafo"/>
    <w:link w:val="Corpodeltesto"/>
    <w:uiPriority w:val="99"/>
    <w:rsid w:val="00FE04BF"/>
    <w:rPr>
      <w:rFonts w:ascii="Times New Roman" w:eastAsia="Times New Roman" w:hAnsi="Times New Roman" w:cs="Times New Roman"/>
      <w:szCs w:val="20"/>
    </w:rPr>
  </w:style>
  <w:style w:type="paragraph" w:styleId="Puntoelenco">
    <w:name w:val="List Bullet"/>
    <w:basedOn w:val="Normale"/>
    <w:uiPriority w:val="99"/>
    <w:unhideWhenUsed/>
    <w:rsid w:val="000F2991"/>
    <w:pPr>
      <w:numPr>
        <w:numId w:val="13"/>
      </w:numPr>
      <w:contextualSpacing/>
    </w:pPr>
  </w:style>
  <w:style w:type="paragraph" w:styleId="Testonotaapidipagina">
    <w:name w:val="footnote text"/>
    <w:basedOn w:val="Normale"/>
    <w:link w:val="TestonotaapidipaginaCarattere"/>
    <w:uiPriority w:val="99"/>
    <w:unhideWhenUsed/>
    <w:rsid w:val="009C5400"/>
  </w:style>
  <w:style w:type="character" w:customStyle="1" w:styleId="TestonotaapidipaginaCarattere">
    <w:name w:val="Testo nota a piè di pagina Carattere"/>
    <w:basedOn w:val="Caratterepredefinitoparagrafo"/>
    <w:link w:val="Testonotaapidipagina"/>
    <w:uiPriority w:val="99"/>
    <w:rsid w:val="009C5400"/>
  </w:style>
  <w:style w:type="character" w:styleId="Rimandonotaapidipagina">
    <w:name w:val="footnote reference"/>
    <w:basedOn w:val="Caratterepredefinitoparagrafo"/>
    <w:uiPriority w:val="99"/>
    <w:unhideWhenUsed/>
    <w:rsid w:val="009C5400"/>
    <w:rPr>
      <w:vertAlign w:val="superscript"/>
    </w:rPr>
  </w:style>
  <w:style w:type="paragraph" w:styleId="Didascalia">
    <w:name w:val="caption"/>
    <w:basedOn w:val="Normale"/>
    <w:next w:val="Normale"/>
    <w:uiPriority w:val="35"/>
    <w:unhideWhenUsed/>
    <w:qFormat/>
    <w:rsid w:val="006972BA"/>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9"/>
    <w:qFormat/>
    <w:rsid w:val="005235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uiPriority w:val="9"/>
    <w:unhideWhenUsed/>
    <w:qFormat/>
    <w:rsid w:val="002241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4260C"/>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44260C"/>
    <w:rPr>
      <w:rFonts w:ascii="Lucida Grande" w:hAnsi="Lucida Grande" w:cs="Lucida Grande"/>
      <w:sz w:val="18"/>
      <w:szCs w:val="18"/>
    </w:rPr>
  </w:style>
  <w:style w:type="character" w:customStyle="1" w:styleId="Titolo1Carattere">
    <w:name w:val="Titolo 1 Carattere"/>
    <w:basedOn w:val="Caratterepredefinitoparagrafo"/>
    <w:link w:val="Titolo1"/>
    <w:uiPriority w:val="99"/>
    <w:rsid w:val="00523523"/>
    <w:rPr>
      <w:rFonts w:asciiTheme="majorHAnsi" w:eastAsiaTheme="majorEastAsia" w:hAnsiTheme="majorHAnsi" w:cstheme="majorBidi"/>
      <w:b/>
      <w:bCs/>
      <w:color w:val="345A8A" w:themeColor="accent1" w:themeShade="B5"/>
      <w:sz w:val="32"/>
      <w:szCs w:val="32"/>
    </w:rPr>
  </w:style>
  <w:style w:type="paragraph" w:customStyle="1" w:styleId="testo">
    <w:name w:val="testo"/>
    <w:basedOn w:val="Normale"/>
    <w:link w:val="testoCarattere"/>
    <w:rsid w:val="006B4005"/>
    <w:pPr>
      <w:widowControl w:val="0"/>
      <w:overflowPunct w:val="0"/>
      <w:autoSpaceDE w:val="0"/>
      <w:autoSpaceDN w:val="0"/>
      <w:adjustRightInd w:val="0"/>
      <w:spacing w:line="320" w:lineRule="atLeast"/>
      <w:ind w:firstLine="284"/>
      <w:jc w:val="both"/>
    </w:pPr>
    <w:rPr>
      <w:rFonts w:ascii="Times New Roman" w:eastAsia="Calibri" w:hAnsi="Times New Roman" w:cs="Times New Roman"/>
      <w:szCs w:val="20"/>
    </w:rPr>
  </w:style>
  <w:style w:type="character" w:customStyle="1" w:styleId="testoCarattere">
    <w:name w:val="testo Carattere"/>
    <w:link w:val="testo"/>
    <w:locked/>
    <w:rsid w:val="006B4005"/>
    <w:rPr>
      <w:rFonts w:ascii="Times New Roman" w:eastAsia="Calibri" w:hAnsi="Times New Roman" w:cs="Times New Roman"/>
      <w:szCs w:val="20"/>
    </w:rPr>
  </w:style>
  <w:style w:type="paragraph" w:customStyle="1" w:styleId="testob">
    <w:name w:val="testob"/>
    <w:basedOn w:val="Normale"/>
    <w:rsid w:val="006B4005"/>
    <w:pPr>
      <w:widowControl w:val="0"/>
      <w:spacing w:line="320" w:lineRule="atLeast"/>
      <w:ind w:firstLine="227"/>
      <w:jc w:val="both"/>
    </w:pPr>
    <w:rPr>
      <w:rFonts w:ascii="CenturyOldst BT" w:eastAsia="Calibri" w:hAnsi="CenturyOldst BT" w:cs="Times New Roman"/>
      <w:sz w:val="22"/>
      <w:szCs w:val="20"/>
    </w:rPr>
  </w:style>
  <w:style w:type="paragraph" w:styleId="Testonormale">
    <w:name w:val="Plain Text"/>
    <w:basedOn w:val="Normale"/>
    <w:link w:val="TestonormaleCarattere"/>
    <w:rsid w:val="00B50ECD"/>
    <w:rPr>
      <w:rFonts w:ascii="Consolas" w:eastAsia="Times New Roman" w:hAnsi="Consolas" w:cs="Consolas"/>
      <w:sz w:val="21"/>
      <w:szCs w:val="21"/>
      <w:lang w:eastAsia="en-US"/>
    </w:rPr>
  </w:style>
  <w:style w:type="character" w:customStyle="1" w:styleId="TestonormaleCarattere">
    <w:name w:val="Testo normale Carattere"/>
    <w:basedOn w:val="Caratterepredefinitoparagrafo"/>
    <w:link w:val="Testonormale"/>
    <w:rsid w:val="00B50ECD"/>
    <w:rPr>
      <w:rFonts w:ascii="Consolas" w:eastAsia="Times New Roman" w:hAnsi="Consolas" w:cs="Consolas"/>
      <w:sz w:val="21"/>
      <w:szCs w:val="21"/>
      <w:lang w:eastAsia="en-US"/>
    </w:rPr>
  </w:style>
  <w:style w:type="paragraph" w:styleId="Paragrafoelenco">
    <w:name w:val="List Paragraph"/>
    <w:basedOn w:val="Normale"/>
    <w:uiPriority w:val="99"/>
    <w:qFormat/>
    <w:rsid w:val="002144D1"/>
    <w:pPr>
      <w:ind w:left="720"/>
      <w:contextualSpacing/>
    </w:pPr>
  </w:style>
  <w:style w:type="paragraph" w:styleId="Sommario1">
    <w:name w:val="toc 1"/>
    <w:basedOn w:val="Normale"/>
    <w:next w:val="Normale"/>
    <w:autoRedefine/>
    <w:uiPriority w:val="39"/>
    <w:unhideWhenUsed/>
    <w:rsid w:val="008E0B57"/>
    <w:pPr>
      <w:tabs>
        <w:tab w:val="right" w:leader="dot" w:pos="6096"/>
      </w:tabs>
    </w:pPr>
  </w:style>
  <w:style w:type="paragraph" w:styleId="Sommario2">
    <w:name w:val="toc 2"/>
    <w:basedOn w:val="Normale"/>
    <w:next w:val="Normale"/>
    <w:autoRedefine/>
    <w:uiPriority w:val="39"/>
    <w:unhideWhenUsed/>
    <w:rsid w:val="002241E2"/>
    <w:pPr>
      <w:ind w:left="240"/>
    </w:pPr>
  </w:style>
  <w:style w:type="paragraph" w:styleId="Sommario3">
    <w:name w:val="toc 3"/>
    <w:basedOn w:val="Normale"/>
    <w:next w:val="Normale"/>
    <w:autoRedefine/>
    <w:uiPriority w:val="39"/>
    <w:unhideWhenUsed/>
    <w:rsid w:val="002241E2"/>
    <w:pPr>
      <w:ind w:left="480"/>
    </w:pPr>
  </w:style>
  <w:style w:type="paragraph" w:styleId="Sommario4">
    <w:name w:val="toc 4"/>
    <w:basedOn w:val="Normale"/>
    <w:next w:val="Normale"/>
    <w:autoRedefine/>
    <w:uiPriority w:val="39"/>
    <w:unhideWhenUsed/>
    <w:rsid w:val="002241E2"/>
    <w:pPr>
      <w:ind w:left="720"/>
    </w:pPr>
  </w:style>
  <w:style w:type="paragraph" w:styleId="Sommario5">
    <w:name w:val="toc 5"/>
    <w:basedOn w:val="Normale"/>
    <w:next w:val="Normale"/>
    <w:autoRedefine/>
    <w:uiPriority w:val="39"/>
    <w:unhideWhenUsed/>
    <w:rsid w:val="002241E2"/>
    <w:pPr>
      <w:ind w:left="960"/>
    </w:pPr>
  </w:style>
  <w:style w:type="paragraph" w:styleId="Sommario6">
    <w:name w:val="toc 6"/>
    <w:basedOn w:val="Normale"/>
    <w:next w:val="Normale"/>
    <w:autoRedefine/>
    <w:uiPriority w:val="39"/>
    <w:unhideWhenUsed/>
    <w:rsid w:val="002241E2"/>
    <w:pPr>
      <w:ind w:left="1200"/>
    </w:pPr>
  </w:style>
  <w:style w:type="paragraph" w:styleId="Sommario7">
    <w:name w:val="toc 7"/>
    <w:basedOn w:val="Normale"/>
    <w:next w:val="Normale"/>
    <w:autoRedefine/>
    <w:uiPriority w:val="39"/>
    <w:unhideWhenUsed/>
    <w:rsid w:val="002241E2"/>
    <w:pPr>
      <w:ind w:left="1440"/>
    </w:pPr>
  </w:style>
  <w:style w:type="paragraph" w:styleId="Sommario8">
    <w:name w:val="toc 8"/>
    <w:basedOn w:val="Normale"/>
    <w:next w:val="Normale"/>
    <w:autoRedefine/>
    <w:uiPriority w:val="39"/>
    <w:unhideWhenUsed/>
    <w:rsid w:val="002241E2"/>
    <w:pPr>
      <w:ind w:left="1680"/>
    </w:pPr>
  </w:style>
  <w:style w:type="paragraph" w:styleId="Sommario9">
    <w:name w:val="toc 9"/>
    <w:basedOn w:val="Normale"/>
    <w:next w:val="Normale"/>
    <w:autoRedefine/>
    <w:uiPriority w:val="39"/>
    <w:unhideWhenUsed/>
    <w:rsid w:val="002241E2"/>
    <w:pPr>
      <w:ind w:left="1920"/>
    </w:pPr>
  </w:style>
  <w:style w:type="character" w:customStyle="1" w:styleId="Titolo2Carattere">
    <w:name w:val="Titolo 2 Carattere"/>
    <w:basedOn w:val="Caratterepredefinitoparagrafo"/>
    <w:link w:val="Titolo2"/>
    <w:uiPriority w:val="9"/>
    <w:rsid w:val="002241E2"/>
    <w:rPr>
      <w:rFonts w:asciiTheme="majorHAnsi" w:eastAsiaTheme="majorEastAsia" w:hAnsiTheme="majorHAnsi" w:cstheme="majorBidi"/>
      <w:b/>
      <w:bCs/>
      <w:color w:val="4F81BD" w:themeColor="accent1"/>
      <w:sz w:val="26"/>
      <w:szCs w:val="26"/>
    </w:rPr>
  </w:style>
  <w:style w:type="paragraph" w:styleId="Pidipagina">
    <w:name w:val="footer"/>
    <w:basedOn w:val="Normale"/>
    <w:link w:val="PidipaginaCarattere"/>
    <w:uiPriority w:val="99"/>
    <w:unhideWhenUsed/>
    <w:rsid w:val="00C053BA"/>
    <w:pPr>
      <w:tabs>
        <w:tab w:val="center" w:pos="4819"/>
        <w:tab w:val="right" w:pos="9638"/>
      </w:tabs>
    </w:pPr>
  </w:style>
  <w:style w:type="character" w:customStyle="1" w:styleId="PidipaginaCarattere">
    <w:name w:val="Piè di pagina Carattere"/>
    <w:basedOn w:val="Caratterepredefinitoparagrafo"/>
    <w:link w:val="Pidipagina"/>
    <w:uiPriority w:val="99"/>
    <w:rsid w:val="00C053BA"/>
  </w:style>
  <w:style w:type="character" w:styleId="Numeropagina">
    <w:name w:val="page number"/>
    <w:basedOn w:val="Caratterepredefinitoparagrafo"/>
    <w:uiPriority w:val="99"/>
    <w:semiHidden/>
    <w:unhideWhenUsed/>
    <w:rsid w:val="00C053BA"/>
  </w:style>
  <w:style w:type="paragraph" w:styleId="Intestazione">
    <w:name w:val="header"/>
    <w:basedOn w:val="Normale"/>
    <w:link w:val="IntestazioneCarattere"/>
    <w:uiPriority w:val="99"/>
    <w:unhideWhenUsed/>
    <w:rsid w:val="00C053BA"/>
    <w:pPr>
      <w:tabs>
        <w:tab w:val="center" w:pos="4819"/>
        <w:tab w:val="right" w:pos="9638"/>
      </w:tabs>
    </w:pPr>
  </w:style>
  <w:style w:type="character" w:customStyle="1" w:styleId="IntestazioneCarattere">
    <w:name w:val="Intestazione Carattere"/>
    <w:basedOn w:val="Caratterepredefinitoparagrafo"/>
    <w:link w:val="Intestazione"/>
    <w:uiPriority w:val="99"/>
    <w:rsid w:val="00C053BA"/>
  </w:style>
  <w:style w:type="table" w:styleId="Sfondochiaro">
    <w:name w:val="Light Shading"/>
    <w:basedOn w:val="Tabellanormale"/>
    <w:uiPriority w:val="60"/>
    <w:rsid w:val="00EA405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medio1">
    <w:name w:val="Medium Shading 1"/>
    <w:basedOn w:val="Tabellanormale"/>
    <w:uiPriority w:val="63"/>
    <w:rsid w:val="00EA405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EA4052"/>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orpodeltesto">
    <w:name w:val="Body Text"/>
    <w:basedOn w:val="Normale"/>
    <w:link w:val="CorpodeltestoCarattere"/>
    <w:uiPriority w:val="99"/>
    <w:rsid w:val="00FE04BF"/>
    <w:pPr>
      <w:spacing w:line="360" w:lineRule="auto"/>
      <w:jc w:val="both"/>
    </w:pPr>
    <w:rPr>
      <w:rFonts w:ascii="Times New Roman" w:eastAsia="Times New Roman" w:hAnsi="Times New Roman" w:cs="Times New Roman"/>
      <w:szCs w:val="20"/>
    </w:rPr>
  </w:style>
  <w:style w:type="character" w:customStyle="1" w:styleId="CorpodeltestoCarattere">
    <w:name w:val="Corpo del testo Carattere"/>
    <w:basedOn w:val="Caratterepredefinitoparagrafo"/>
    <w:link w:val="Corpodeltesto"/>
    <w:uiPriority w:val="99"/>
    <w:rsid w:val="00FE04BF"/>
    <w:rPr>
      <w:rFonts w:ascii="Times New Roman" w:eastAsia="Times New Roman" w:hAnsi="Times New Roman" w:cs="Times New Roman"/>
      <w:szCs w:val="20"/>
    </w:rPr>
  </w:style>
  <w:style w:type="paragraph" w:styleId="Puntoelenco">
    <w:name w:val="List Bullet"/>
    <w:basedOn w:val="Normale"/>
    <w:uiPriority w:val="99"/>
    <w:unhideWhenUsed/>
    <w:rsid w:val="000F2991"/>
    <w:pPr>
      <w:numPr>
        <w:numId w:val="13"/>
      </w:numPr>
      <w:contextualSpacing/>
    </w:pPr>
  </w:style>
  <w:style w:type="paragraph" w:styleId="Testonotaapidipagina">
    <w:name w:val="footnote text"/>
    <w:basedOn w:val="Normale"/>
    <w:link w:val="TestonotaapidipaginaCarattere"/>
    <w:uiPriority w:val="99"/>
    <w:unhideWhenUsed/>
    <w:rsid w:val="009C5400"/>
  </w:style>
  <w:style w:type="character" w:customStyle="1" w:styleId="TestonotaapidipaginaCarattere">
    <w:name w:val="Testo nota a piè di pagina Carattere"/>
    <w:basedOn w:val="Caratterepredefinitoparagrafo"/>
    <w:link w:val="Testonotaapidipagina"/>
    <w:uiPriority w:val="99"/>
    <w:rsid w:val="009C5400"/>
  </w:style>
  <w:style w:type="character" w:styleId="Rimandonotaapidipagina">
    <w:name w:val="footnote reference"/>
    <w:basedOn w:val="Caratterepredefinitoparagrafo"/>
    <w:uiPriority w:val="99"/>
    <w:unhideWhenUsed/>
    <w:rsid w:val="009C5400"/>
    <w:rPr>
      <w:vertAlign w:val="superscript"/>
    </w:rPr>
  </w:style>
  <w:style w:type="paragraph" w:styleId="Didascalia">
    <w:name w:val="caption"/>
    <w:basedOn w:val="Normale"/>
    <w:next w:val="Normale"/>
    <w:uiPriority w:val="35"/>
    <w:unhideWhenUsed/>
    <w:qFormat/>
    <w:rsid w:val="006972BA"/>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49879">
      <w:bodyDiv w:val="1"/>
      <w:marLeft w:val="0"/>
      <w:marRight w:val="0"/>
      <w:marTop w:val="0"/>
      <w:marBottom w:val="0"/>
      <w:divBdr>
        <w:top w:val="none" w:sz="0" w:space="0" w:color="auto"/>
        <w:left w:val="none" w:sz="0" w:space="0" w:color="auto"/>
        <w:bottom w:val="none" w:sz="0" w:space="0" w:color="auto"/>
        <w:right w:val="none" w:sz="0" w:space="0" w:color="auto"/>
      </w:divBdr>
    </w:div>
    <w:div w:id="201600491">
      <w:bodyDiv w:val="1"/>
      <w:marLeft w:val="0"/>
      <w:marRight w:val="0"/>
      <w:marTop w:val="0"/>
      <w:marBottom w:val="0"/>
      <w:divBdr>
        <w:top w:val="none" w:sz="0" w:space="0" w:color="auto"/>
        <w:left w:val="none" w:sz="0" w:space="0" w:color="auto"/>
        <w:bottom w:val="none" w:sz="0" w:space="0" w:color="auto"/>
        <w:right w:val="none" w:sz="0" w:space="0" w:color="auto"/>
      </w:divBdr>
    </w:div>
    <w:div w:id="216823095">
      <w:bodyDiv w:val="1"/>
      <w:marLeft w:val="0"/>
      <w:marRight w:val="0"/>
      <w:marTop w:val="0"/>
      <w:marBottom w:val="0"/>
      <w:divBdr>
        <w:top w:val="none" w:sz="0" w:space="0" w:color="auto"/>
        <w:left w:val="none" w:sz="0" w:space="0" w:color="auto"/>
        <w:bottom w:val="none" w:sz="0" w:space="0" w:color="auto"/>
        <w:right w:val="none" w:sz="0" w:space="0" w:color="auto"/>
      </w:divBdr>
    </w:div>
    <w:div w:id="251549810">
      <w:bodyDiv w:val="1"/>
      <w:marLeft w:val="0"/>
      <w:marRight w:val="0"/>
      <w:marTop w:val="0"/>
      <w:marBottom w:val="0"/>
      <w:divBdr>
        <w:top w:val="none" w:sz="0" w:space="0" w:color="auto"/>
        <w:left w:val="none" w:sz="0" w:space="0" w:color="auto"/>
        <w:bottom w:val="none" w:sz="0" w:space="0" w:color="auto"/>
        <w:right w:val="none" w:sz="0" w:space="0" w:color="auto"/>
      </w:divBdr>
    </w:div>
    <w:div w:id="312417524">
      <w:bodyDiv w:val="1"/>
      <w:marLeft w:val="0"/>
      <w:marRight w:val="0"/>
      <w:marTop w:val="0"/>
      <w:marBottom w:val="0"/>
      <w:divBdr>
        <w:top w:val="none" w:sz="0" w:space="0" w:color="auto"/>
        <w:left w:val="none" w:sz="0" w:space="0" w:color="auto"/>
        <w:bottom w:val="none" w:sz="0" w:space="0" w:color="auto"/>
        <w:right w:val="none" w:sz="0" w:space="0" w:color="auto"/>
      </w:divBdr>
    </w:div>
    <w:div w:id="398524972">
      <w:bodyDiv w:val="1"/>
      <w:marLeft w:val="0"/>
      <w:marRight w:val="0"/>
      <w:marTop w:val="0"/>
      <w:marBottom w:val="0"/>
      <w:divBdr>
        <w:top w:val="none" w:sz="0" w:space="0" w:color="auto"/>
        <w:left w:val="none" w:sz="0" w:space="0" w:color="auto"/>
        <w:bottom w:val="none" w:sz="0" w:space="0" w:color="auto"/>
        <w:right w:val="none" w:sz="0" w:space="0" w:color="auto"/>
      </w:divBdr>
    </w:div>
    <w:div w:id="461925307">
      <w:bodyDiv w:val="1"/>
      <w:marLeft w:val="0"/>
      <w:marRight w:val="0"/>
      <w:marTop w:val="0"/>
      <w:marBottom w:val="0"/>
      <w:divBdr>
        <w:top w:val="none" w:sz="0" w:space="0" w:color="auto"/>
        <w:left w:val="none" w:sz="0" w:space="0" w:color="auto"/>
        <w:bottom w:val="none" w:sz="0" w:space="0" w:color="auto"/>
        <w:right w:val="none" w:sz="0" w:space="0" w:color="auto"/>
      </w:divBdr>
    </w:div>
    <w:div w:id="520168603">
      <w:bodyDiv w:val="1"/>
      <w:marLeft w:val="0"/>
      <w:marRight w:val="0"/>
      <w:marTop w:val="0"/>
      <w:marBottom w:val="0"/>
      <w:divBdr>
        <w:top w:val="none" w:sz="0" w:space="0" w:color="auto"/>
        <w:left w:val="none" w:sz="0" w:space="0" w:color="auto"/>
        <w:bottom w:val="none" w:sz="0" w:space="0" w:color="auto"/>
        <w:right w:val="none" w:sz="0" w:space="0" w:color="auto"/>
      </w:divBdr>
    </w:div>
    <w:div w:id="630986768">
      <w:bodyDiv w:val="1"/>
      <w:marLeft w:val="0"/>
      <w:marRight w:val="0"/>
      <w:marTop w:val="0"/>
      <w:marBottom w:val="0"/>
      <w:divBdr>
        <w:top w:val="none" w:sz="0" w:space="0" w:color="auto"/>
        <w:left w:val="none" w:sz="0" w:space="0" w:color="auto"/>
        <w:bottom w:val="none" w:sz="0" w:space="0" w:color="auto"/>
        <w:right w:val="none" w:sz="0" w:space="0" w:color="auto"/>
      </w:divBdr>
    </w:div>
    <w:div w:id="663777012">
      <w:bodyDiv w:val="1"/>
      <w:marLeft w:val="0"/>
      <w:marRight w:val="0"/>
      <w:marTop w:val="0"/>
      <w:marBottom w:val="0"/>
      <w:divBdr>
        <w:top w:val="none" w:sz="0" w:space="0" w:color="auto"/>
        <w:left w:val="none" w:sz="0" w:space="0" w:color="auto"/>
        <w:bottom w:val="none" w:sz="0" w:space="0" w:color="auto"/>
        <w:right w:val="none" w:sz="0" w:space="0" w:color="auto"/>
      </w:divBdr>
    </w:div>
    <w:div w:id="709721154">
      <w:bodyDiv w:val="1"/>
      <w:marLeft w:val="0"/>
      <w:marRight w:val="0"/>
      <w:marTop w:val="0"/>
      <w:marBottom w:val="0"/>
      <w:divBdr>
        <w:top w:val="none" w:sz="0" w:space="0" w:color="auto"/>
        <w:left w:val="none" w:sz="0" w:space="0" w:color="auto"/>
        <w:bottom w:val="none" w:sz="0" w:space="0" w:color="auto"/>
        <w:right w:val="none" w:sz="0" w:space="0" w:color="auto"/>
      </w:divBdr>
    </w:div>
    <w:div w:id="775442997">
      <w:bodyDiv w:val="1"/>
      <w:marLeft w:val="0"/>
      <w:marRight w:val="0"/>
      <w:marTop w:val="0"/>
      <w:marBottom w:val="0"/>
      <w:divBdr>
        <w:top w:val="none" w:sz="0" w:space="0" w:color="auto"/>
        <w:left w:val="none" w:sz="0" w:space="0" w:color="auto"/>
        <w:bottom w:val="none" w:sz="0" w:space="0" w:color="auto"/>
        <w:right w:val="none" w:sz="0" w:space="0" w:color="auto"/>
      </w:divBdr>
    </w:div>
    <w:div w:id="783962092">
      <w:bodyDiv w:val="1"/>
      <w:marLeft w:val="0"/>
      <w:marRight w:val="0"/>
      <w:marTop w:val="0"/>
      <w:marBottom w:val="0"/>
      <w:divBdr>
        <w:top w:val="none" w:sz="0" w:space="0" w:color="auto"/>
        <w:left w:val="none" w:sz="0" w:space="0" w:color="auto"/>
        <w:bottom w:val="none" w:sz="0" w:space="0" w:color="auto"/>
        <w:right w:val="none" w:sz="0" w:space="0" w:color="auto"/>
      </w:divBdr>
    </w:div>
    <w:div w:id="818377144">
      <w:bodyDiv w:val="1"/>
      <w:marLeft w:val="0"/>
      <w:marRight w:val="0"/>
      <w:marTop w:val="0"/>
      <w:marBottom w:val="0"/>
      <w:divBdr>
        <w:top w:val="none" w:sz="0" w:space="0" w:color="auto"/>
        <w:left w:val="none" w:sz="0" w:space="0" w:color="auto"/>
        <w:bottom w:val="none" w:sz="0" w:space="0" w:color="auto"/>
        <w:right w:val="none" w:sz="0" w:space="0" w:color="auto"/>
      </w:divBdr>
    </w:div>
    <w:div w:id="871108601">
      <w:bodyDiv w:val="1"/>
      <w:marLeft w:val="0"/>
      <w:marRight w:val="0"/>
      <w:marTop w:val="0"/>
      <w:marBottom w:val="0"/>
      <w:divBdr>
        <w:top w:val="none" w:sz="0" w:space="0" w:color="auto"/>
        <w:left w:val="none" w:sz="0" w:space="0" w:color="auto"/>
        <w:bottom w:val="none" w:sz="0" w:space="0" w:color="auto"/>
        <w:right w:val="none" w:sz="0" w:space="0" w:color="auto"/>
      </w:divBdr>
    </w:div>
    <w:div w:id="1153990505">
      <w:bodyDiv w:val="1"/>
      <w:marLeft w:val="0"/>
      <w:marRight w:val="0"/>
      <w:marTop w:val="0"/>
      <w:marBottom w:val="0"/>
      <w:divBdr>
        <w:top w:val="none" w:sz="0" w:space="0" w:color="auto"/>
        <w:left w:val="none" w:sz="0" w:space="0" w:color="auto"/>
        <w:bottom w:val="none" w:sz="0" w:space="0" w:color="auto"/>
        <w:right w:val="none" w:sz="0" w:space="0" w:color="auto"/>
      </w:divBdr>
    </w:div>
    <w:div w:id="1154908117">
      <w:bodyDiv w:val="1"/>
      <w:marLeft w:val="0"/>
      <w:marRight w:val="0"/>
      <w:marTop w:val="0"/>
      <w:marBottom w:val="0"/>
      <w:divBdr>
        <w:top w:val="none" w:sz="0" w:space="0" w:color="auto"/>
        <w:left w:val="none" w:sz="0" w:space="0" w:color="auto"/>
        <w:bottom w:val="none" w:sz="0" w:space="0" w:color="auto"/>
        <w:right w:val="none" w:sz="0" w:space="0" w:color="auto"/>
      </w:divBdr>
    </w:div>
    <w:div w:id="1204513098">
      <w:bodyDiv w:val="1"/>
      <w:marLeft w:val="0"/>
      <w:marRight w:val="0"/>
      <w:marTop w:val="0"/>
      <w:marBottom w:val="0"/>
      <w:divBdr>
        <w:top w:val="none" w:sz="0" w:space="0" w:color="auto"/>
        <w:left w:val="none" w:sz="0" w:space="0" w:color="auto"/>
        <w:bottom w:val="none" w:sz="0" w:space="0" w:color="auto"/>
        <w:right w:val="none" w:sz="0" w:space="0" w:color="auto"/>
      </w:divBdr>
    </w:div>
    <w:div w:id="1229458994">
      <w:bodyDiv w:val="1"/>
      <w:marLeft w:val="0"/>
      <w:marRight w:val="0"/>
      <w:marTop w:val="0"/>
      <w:marBottom w:val="0"/>
      <w:divBdr>
        <w:top w:val="none" w:sz="0" w:space="0" w:color="auto"/>
        <w:left w:val="none" w:sz="0" w:space="0" w:color="auto"/>
        <w:bottom w:val="none" w:sz="0" w:space="0" w:color="auto"/>
        <w:right w:val="none" w:sz="0" w:space="0" w:color="auto"/>
      </w:divBdr>
    </w:div>
    <w:div w:id="1447234900">
      <w:bodyDiv w:val="1"/>
      <w:marLeft w:val="0"/>
      <w:marRight w:val="0"/>
      <w:marTop w:val="0"/>
      <w:marBottom w:val="0"/>
      <w:divBdr>
        <w:top w:val="none" w:sz="0" w:space="0" w:color="auto"/>
        <w:left w:val="none" w:sz="0" w:space="0" w:color="auto"/>
        <w:bottom w:val="none" w:sz="0" w:space="0" w:color="auto"/>
        <w:right w:val="none" w:sz="0" w:space="0" w:color="auto"/>
      </w:divBdr>
    </w:div>
    <w:div w:id="1477605620">
      <w:bodyDiv w:val="1"/>
      <w:marLeft w:val="0"/>
      <w:marRight w:val="0"/>
      <w:marTop w:val="0"/>
      <w:marBottom w:val="0"/>
      <w:divBdr>
        <w:top w:val="none" w:sz="0" w:space="0" w:color="auto"/>
        <w:left w:val="none" w:sz="0" w:space="0" w:color="auto"/>
        <w:bottom w:val="none" w:sz="0" w:space="0" w:color="auto"/>
        <w:right w:val="none" w:sz="0" w:space="0" w:color="auto"/>
      </w:divBdr>
    </w:div>
    <w:div w:id="1707214038">
      <w:bodyDiv w:val="1"/>
      <w:marLeft w:val="0"/>
      <w:marRight w:val="0"/>
      <w:marTop w:val="0"/>
      <w:marBottom w:val="0"/>
      <w:divBdr>
        <w:top w:val="none" w:sz="0" w:space="0" w:color="auto"/>
        <w:left w:val="none" w:sz="0" w:space="0" w:color="auto"/>
        <w:bottom w:val="none" w:sz="0" w:space="0" w:color="auto"/>
        <w:right w:val="none" w:sz="0" w:space="0" w:color="auto"/>
      </w:divBdr>
    </w:div>
    <w:div w:id="1785808708">
      <w:bodyDiv w:val="1"/>
      <w:marLeft w:val="0"/>
      <w:marRight w:val="0"/>
      <w:marTop w:val="0"/>
      <w:marBottom w:val="0"/>
      <w:divBdr>
        <w:top w:val="none" w:sz="0" w:space="0" w:color="auto"/>
        <w:left w:val="none" w:sz="0" w:space="0" w:color="auto"/>
        <w:bottom w:val="none" w:sz="0" w:space="0" w:color="auto"/>
        <w:right w:val="none" w:sz="0" w:space="0" w:color="auto"/>
      </w:divBdr>
    </w:div>
    <w:div w:id="1801267900">
      <w:bodyDiv w:val="1"/>
      <w:marLeft w:val="0"/>
      <w:marRight w:val="0"/>
      <w:marTop w:val="0"/>
      <w:marBottom w:val="0"/>
      <w:divBdr>
        <w:top w:val="none" w:sz="0" w:space="0" w:color="auto"/>
        <w:left w:val="none" w:sz="0" w:space="0" w:color="auto"/>
        <w:bottom w:val="none" w:sz="0" w:space="0" w:color="auto"/>
        <w:right w:val="none" w:sz="0" w:space="0" w:color="auto"/>
      </w:divBdr>
    </w:div>
    <w:div w:id="1839299087">
      <w:bodyDiv w:val="1"/>
      <w:marLeft w:val="0"/>
      <w:marRight w:val="0"/>
      <w:marTop w:val="0"/>
      <w:marBottom w:val="0"/>
      <w:divBdr>
        <w:top w:val="none" w:sz="0" w:space="0" w:color="auto"/>
        <w:left w:val="none" w:sz="0" w:space="0" w:color="auto"/>
        <w:bottom w:val="none" w:sz="0" w:space="0" w:color="auto"/>
        <w:right w:val="none" w:sz="0" w:space="0" w:color="auto"/>
      </w:divBdr>
    </w:div>
    <w:div w:id="1841197768">
      <w:bodyDiv w:val="1"/>
      <w:marLeft w:val="0"/>
      <w:marRight w:val="0"/>
      <w:marTop w:val="0"/>
      <w:marBottom w:val="0"/>
      <w:divBdr>
        <w:top w:val="none" w:sz="0" w:space="0" w:color="auto"/>
        <w:left w:val="none" w:sz="0" w:space="0" w:color="auto"/>
        <w:bottom w:val="none" w:sz="0" w:space="0" w:color="auto"/>
        <w:right w:val="none" w:sz="0" w:space="0" w:color="auto"/>
      </w:divBdr>
    </w:div>
    <w:div w:id="1849902896">
      <w:bodyDiv w:val="1"/>
      <w:marLeft w:val="0"/>
      <w:marRight w:val="0"/>
      <w:marTop w:val="0"/>
      <w:marBottom w:val="0"/>
      <w:divBdr>
        <w:top w:val="none" w:sz="0" w:space="0" w:color="auto"/>
        <w:left w:val="none" w:sz="0" w:space="0" w:color="auto"/>
        <w:bottom w:val="none" w:sz="0" w:space="0" w:color="auto"/>
        <w:right w:val="none" w:sz="0" w:space="0" w:color="auto"/>
      </w:divBdr>
    </w:div>
    <w:div w:id="1869374007">
      <w:bodyDiv w:val="1"/>
      <w:marLeft w:val="0"/>
      <w:marRight w:val="0"/>
      <w:marTop w:val="0"/>
      <w:marBottom w:val="0"/>
      <w:divBdr>
        <w:top w:val="none" w:sz="0" w:space="0" w:color="auto"/>
        <w:left w:val="none" w:sz="0" w:space="0" w:color="auto"/>
        <w:bottom w:val="none" w:sz="0" w:space="0" w:color="auto"/>
        <w:right w:val="none" w:sz="0" w:space="0" w:color="auto"/>
      </w:divBdr>
    </w:div>
    <w:div w:id="1973708425">
      <w:bodyDiv w:val="1"/>
      <w:marLeft w:val="0"/>
      <w:marRight w:val="0"/>
      <w:marTop w:val="0"/>
      <w:marBottom w:val="0"/>
      <w:divBdr>
        <w:top w:val="none" w:sz="0" w:space="0" w:color="auto"/>
        <w:left w:val="none" w:sz="0" w:space="0" w:color="auto"/>
        <w:bottom w:val="none" w:sz="0" w:space="0" w:color="auto"/>
        <w:right w:val="none" w:sz="0" w:space="0" w:color="auto"/>
      </w:divBdr>
    </w:div>
    <w:div w:id="2039381797">
      <w:bodyDiv w:val="1"/>
      <w:marLeft w:val="0"/>
      <w:marRight w:val="0"/>
      <w:marTop w:val="0"/>
      <w:marBottom w:val="0"/>
      <w:divBdr>
        <w:top w:val="none" w:sz="0" w:space="0" w:color="auto"/>
        <w:left w:val="none" w:sz="0" w:space="0" w:color="auto"/>
        <w:bottom w:val="none" w:sz="0" w:space="0" w:color="auto"/>
        <w:right w:val="none" w:sz="0" w:space="0" w:color="auto"/>
      </w:divBdr>
    </w:div>
    <w:div w:id="2045016074">
      <w:bodyDiv w:val="1"/>
      <w:marLeft w:val="0"/>
      <w:marRight w:val="0"/>
      <w:marTop w:val="0"/>
      <w:marBottom w:val="0"/>
      <w:divBdr>
        <w:top w:val="none" w:sz="0" w:space="0" w:color="auto"/>
        <w:left w:val="none" w:sz="0" w:space="0" w:color="auto"/>
        <w:bottom w:val="none" w:sz="0" w:space="0" w:color="auto"/>
        <w:right w:val="none" w:sz="0" w:space="0" w:color="auto"/>
      </w:divBdr>
    </w:div>
    <w:div w:id="207122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emf"/><Relationship Id="rId20" Type="http://schemas.openxmlformats.org/officeDocument/2006/relationships/printerSettings" Target="printerSettings/printerSettings1.bin"/><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emf"/><Relationship Id="rId11" Type="http://schemas.openxmlformats.org/officeDocument/2006/relationships/image" Target="media/image4.emf"/><Relationship Id="rId12" Type="http://schemas.openxmlformats.org/officeDocument/2006/relationships/image" Target="media/image5.emf"/><Relationship Id="rId13" Type="http://schemas.openxmlformats.org/officeDocument/2006/relationships/image" Target="media/image6.emf"/><Relationship Id="rId14" Type="http://schemas.openxmlformats.org/officeDocument/2006/relationships/image" Target="media/image7.emf"/><Relationship Id="rId15" Type="http://schemas.openxmlformats.org/officeDocument/2006/relationships/image" Target="media/image8.emf"/><Relationship Id="rId16" Type="http://schemas.openxmlformats.org/officeDocument/2006/relationships/image" Target="media/image9.emf"/><Relationship Id="rId17" Type="http://schemas.openxmlformats.org/officeDocument/2006/relationships/image" Target="media/image10.emf"/><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EE7F-CC97-4542-A34D-846ECF94F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11</Pages>
  <Words>2162</Words>
  <Characters>12328</Characters>
  <Application>Microsoft Macintosh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 Billi</dc:creator>
  <cp:lastModifiedBy>Sandro Billi</cp:lastModifiedBy>
  <cp:revision>22</cp:revision>
  <cp:lastPrinted>2013-04-09T19:16:00Z</cp:lastPrinted>
  <dcterms:created xsi:type="dcterms:W3CDTF">2017-04-13T14:00:00Z</dcterms:created>
  <dcterms:modified xsi:type="dcterms:W3CDTF">2017-04-15T15:16:00Z</dcterms:modified>
</cp:coreProperties>
</file>